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ind w:left="-180" w:firstLine="0"/>
        <w:jc w:val="both"/>
        <w:rPr>
          <w:rFonts w:ascii="Calibri" w:cs="Calibri" w:eastAsia="Calibri" w:hAnsi="Calibri"/>
          <w:highlight w:val="green"/>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La bacteria Clostridium botulinum produce una clase de compuestos químicos conocidos como neurotoxinas. Estas toxinas se procesan y purifican para producir productos estériles adecuados para usos terapéuticos específicos. Una vez que se inyecta la toxina diluida, produce una parálisis temporal (quimiodenervación) del músculo al evitar la transmisión de impulsos nerviosos al músculo. La duración de la parálisis muscular generalmente dura aproximadamente tres meses.</w:t>
      </w:r>
    </w:p>
    <w:p w:rsidR="00000000" w:rsidDel="00000000" w:rsidP="00000000" w:rsidRDefault="00000000" w:rsidRPr="00000000" w14:paraId="00000005">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TRATAMIENTOS ALTERNATIVOS</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Las formas alternativas de tratamiento incluyen no tratar las arrugas de la piel de ninguna manera. La mejora de las arrugas de la piel se puede lograr mediante otros tratamientos, incluyendo cirugía, peelings químicos, láseres, inyección de material de relleno y otros tratamientos de la piel.</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RIESGOS</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Cada procedimiento implica cierta cantidad de riesgo, y es importante que entienda los riesgos involucrados. Su elección de someterse a este procedimiento se basa en la comparación del riesgo con el beneficio potencial. Aunque la mayoría de los pacientes no experimentan las siguientes complicaciones, debe discutirlas con su proveedor para asegurarse de que comprende los riesgos, las posibles complicaciones y las consecuencias de las inyecciones.</w:t>
      </w:r>
    </w:p>
    <w:p w:rsidR="00000000" w:rsidDel="00000000" w:rsidP="00000000" w:rsidRDefault="00000000" w:rsidRPr="00000000" w14:paraId="0000000B">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Los riesgos incluyen:</w:t>
      </w:r>
    </w:p>
    <w:p w:rsidR="00000000" w:rsidDel="00000000" w:rsidP="00000000" w:rsidRDefault="00000000" w:rsidRPr="00000000" w14:paraId="0000000D">
      <w:pPr>
        <w:rPr>
          <w:rFonts w:ascii="Calibri" w:cs="Calibri" w:eastAsia="Calibri" w:hAnsi="Calibri"/>
        </w:rPr>
        <w:sectPr>
          <w:headerReference r:id="rId7" w:type="default"/>
          <w:foot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Sangrado, hinchazón, hematomas</w:t>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Daño a estructuras más profundas</w:t>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Migración de la neurotoxina</w:t>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Caída temporal de los párpados / cejas</w:t>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Dificultad para respirar</w:t>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Reacción alérgica</w:t>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Falta de mejoría</w:t>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Visión doble</w:t>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Dificultad para parpadear / lesión corneal</w:t>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Babeo</w:t>
      </w:r>
    </w:p>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Dolor de cabeza</w:t>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Asimetría</w:t>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Infección</w:t>
      </w:r>
    </w:p>
    <w:p w:rsidR="00000000" w:rsidDel="00000000" w:rsidP="00000000" w:rsidRDefault="00000000" w:rsidRPr="00000000" w14:paraId="0000001B">
      <w:pPr>
        <w:rPr>
          <w:rFonts w:ascii="Calibri" w:cs="Calibri" w:eastAsia="Calibri" w:hAnsi="Calibri"/>
          <w:b w:val="1"/>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Calibri" w:cs="Calibri" w:eastAsia="Calibri" w:hAnsi="Calibri"/>
          <w:b w:val="1"/>
          <w:rtl w:val="0"/>
        </w:rPr>
        <w:t xml:space="preserve">Cicatriz</w:t>
      </w:r>
      <w:r w:rsidDel="00000000" w:rsidR="00000000" w:rsidRPr="00000000">
        <w:rPr>
          <w:rtl w:val="0"/>
        </w:rPr>
      </w:r>
    </w:p>
    <w:p w:rsidR="00000000" w:rsidDel="00000000" w:rsidP="00000000" w:rsidRDefault="00000000" w:rsidRPr="00000000" w14:paraId="0000001C">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D">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E">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Estoy de acuerdo con las siguientes cuatro (4) afirmaciones:</w:t>
      </w:r>
    </w:p>
    <w:p w:rsidR="00000000" w:rsidDel="00000000" w:rsidP="00000000" w:rsidRDefault="00000000" w:rsidRPr="00000000" w14:paraId="00000021">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 estoy embarazada.</w:t>
      </w:r>
    </w:p>
    <w:p w:rsidR="00000000" w:rsidDel="00000000" w:rsidP="00000000" w:rsidRDefault="00000000" w:rsidRPr="00000000" w14:paraId="00000022">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 estoy tomando un antibiótico aminoglucósido.</w:t>
      </w:r>
    </w:p>
    <w:p w:rsidR="00000000" w:rsidDel="00000000" w:rsidP="00000000" w:rsidRDefault="00000000" w:rsidRPr="00000000" w14:paraId="00000023">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ninguna alergia conocida a la albúmina humana o a las proteínas bacterianas grampositivas.</w:t>
      </w:r>
    </w:p>
    <w:p w:rsidR="00000000" w:rsidDel="00000000" w:rsidP="00000000" w:rsidRDefault="00000000" w:rsidRPr="00000000" w14:paraId="00000024">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Informaré a mi proveedor si tengo algún trastorno neurológico o neuromuscular o una alergia conocida a la proteína de la leche.</w:t>
      </w:r>
    </w:p>
    <w:p w:rsidR="00000000" w:rsidDel="00000000" w:rsidP="00000000" w:rsidRDefault="00000000" w:rsidRPr="00000000" w14:paraId="00000025">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ADVERTENCIAS</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No hay datos sobre el uso médico de la toxina botulínica A (toxina botulínica) durante la lactancia materna. Sin embargo, no es detectable sistémicamente después del uso intramuscular, por lo que se considera poco probable la excreción en la leche materna. Dado que las dosis utilizadas médicamente son mucho más bajas que las que causan botulismo, se espera que las cantidades ingeridas por el lactante, si las hay, sean pequeñas y no causen efectos adversos en los lactantes amamantados. Por lo tanto, no se requieren precauciones especiales.</w:t>
      </w:r>
    </w:p>
    <w:p w:rsidR="00000000" w:rsidDel="00000000" w:rsidP="00000000" w:rsidRDefault="00000000" w:rsidRPr="00000000" w14:paraId="00000028">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Entiendo que el costo de la inyección puede implicar varios cargos que incluirían cualquier retoque. Entiendo que es posible que necesite varios tratamientos No se emitirán reembolsos por resultados insatisfactorios percibidos. Entiendo que los costos del tratamiento médico serían mi responsabilidad en caso de que se presenten complicaciones. No se me han dado garantías.</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Las neurotoxinas han estado en uso durante más de 25 años y tienen un perfil de seguridad sobresaliente. Dicho esto, entiendo que los riesgos pueden no ser completamente conocidos.</w:t>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 INSATISFACTORIO</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Existe la posibilidad de una</w:t>
      </w:r>
      <w:r w:rsidDel="00000000" w:rsidR="00000000" w:rsidRPr="00000000">
        <w:rPr>
          <w:rFonts w:ascii="Calibri" w:cs="Calibri" w:eastAsia="Calibri" w:hAnsi="Calibri"/>
          <w:rtl w:val="0"/>
        </w:rPr>
        <w:t xml:space="preserve"> respuesta</w:t>
      </w:r>
      <w:r w:rsidDel="00000000" w:rsidR="00000000" w:rsidRPr="00000000">
        <w:rPr>
          <w:rFonts w:ascii="Calibri" w:cs="Calibri" w:eastAsia="Calibri" w:hAnsi="Calibri"/>
          <w:rtl w:val="0"/>
        </w:rPr>
        <w:t xml:space="preserve"> pobre o insuficiente a la inyección de neurotoxina. Puede ser necesaria la aplicación de inyecciones adicionales. Los resultados completos no se ven hasta 1-2 semanas después de que se hayan realizado las inyecciones.</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left" w:leader="none" w:pos="-720"/>
          <w:tab w:val="left" w:leader="none" w:pos="0"/>
        </w:tabs>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3">
      <w:pPr>
        <w:tabs>
          <w:tab w:val="left" w:leader="none" w:pos="-720"/>
          <w:tab w:val="left" w:leader="none" w:pos="0"/>
        </w:tabs>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4">
      <w:pPr>
        <w:tabs>
          <w:tab w:val="left" w:leader="none" w:pos="-720"/>
          <w:tab w:val="left" w:leader="none" w:pos="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7">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39">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tabs>
          <w:tab w:val="left" w:leader="none" w:pos="-720"/>
          <w:tab w:val="left" w:leader="none" w:pos="0"/>
        </w:tabs>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C">
      <w:pPr>
        <w:tabs>
          <w:tab w:val="left" w:leader="none" w:pos="-720"/>
          <w:tab w:val="left" w:leader="none" w:pos="945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D">
      <w:pPr>
        <w:tabs>
          <w:tab w:val="left" w:leader="none" w:pos="-720"/>
          <w:tab w:val="left" w:leader="none" w:pos="0"/>
        </w:tabs>
        <w:rP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left" w:leader="none" w:pos="1800"/>
        <w:tab w:val="center" w:leader="none" w:pos="4680"/>
        <w:tab w:val="center" w:leader="none" w:pos="5400"/>
        <w:tab w:val="left" w:leader="none" w:pos="7890"/>
        <w:tab w:val="right" w:leader="none" w:pos="9360"/>
      </w:tabs>
      <w:rPr>
        <w:rFonts w:ascii="Calibri" w:cs="Calibri" w:eastAsia="Calibri" w:hAnsi="Calibri"/>
        <w:b w:val="1"/>
      </w:rPr>
    </w:pPr>
    <w:r w:rsidDel="00000000" w:rsidR="00000000" w:rsidRPr="00000000">
      <w:rPr>
        <w:rFonts w:ascii="Calibri" w:cs="Calibri" w:eastAsia="Calibri" w:hAnsi="Calibri"/>
        <w:b w:val="1"/>
        <w:vertAlign w:val="baseline"/>
        <w:rtl w:val="0"/>
      </w:rPr>
      <w:tab/>
      <w:tab/>
    </w: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3F">
          <w:pPr>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1">
          <w:pPr>
            <w:tabs>
              <w:tab w:val="center" w:leader="none" w:pos="4680"/>
              <w:tab w:val="right" w:leader="none" w:pos="9360"/>
            </w:tabs>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2">
          <w:pPr>
            <w:tabs>
              <w:tab w:val="center" w:leader="none" w:pos="4680"/>
              <w:tab w:val="right" w:leader="none" w:pos="9360"/>
            </w:tabs>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3">
          <w:pPr>
            <w:tabs>
              <w:tab w:val="center" w:leader="none" w:pos="4680"/>
              <w:tab w:val="right" w:leader="none" w:pos="9360"/>
            </w:tabs>
            <w:jc w:val="center"/>
            <w:rPr>
              <w:rFonts w:ascii="Calibri" w:cs="Calibri" w:eastAsia="Calibri" w:hAnsi="Calibri"/>
              <w:b w:val="1"/>
            </w:rPr>
          </w:pPr>
          <w:r w:rsidDel="00000000" w:rsidR="00000000" w:rsidRPr="00000000">
            <w:rPr>
              <w:rFonts w:ascii="Calibri" w:cs="Calibri" w:eastAsia="Calibri" w:hAnsi="Calibri"/>
              <w:b w:val="1"/>
              <w:rtl w:val="0"/>
            </w:rPr>
            <w:t xml:space="preserve">INYECCIÓN DE NEUROMODULADOR</w:t>
          </w:r>
        </w:p>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Toxina Botulínica Tipo A</w:t>
          </w: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45">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46">
          <w:pPr>
            <w:tabs>
              <w:tab w:val="center" w:leader="none" w:pos="4680"/>
              <w:tab w:val="right" w:leader="none" w:pos="9360"/>
              <w:tab w:val="center" w:leader="none" w:pos="5040"/>
              <w:tab w:val="right" w:leader="none" w:pos="10080"/>
            </w:tabs>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7">
          <w:pPr>
            <w:tabs>
              <w:tab w:val="center" w:leader="none" w:pos="4680"/>
              <w:tab w:val="right" w:leader="none" w:pos="9360"/>
              <w:tab w:val="center" w:leader="none" w:pos="5040"/>
              <w:tab w:val="right" w:leader="none" w:pos="10080"/>
            </w:tabs>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CREATED:  </w:t>
          </w:r>
          <w:r w:rsidDel="00000000" w:rsidR="00000000" w:rsidRPr="00000000">
            <w:rPr>
              <w:rFonts w:ascii="Calibri" w:cs="Calibri" w:eastAsia="Calibri" w:hAnsi="Calibri"/>
              <w:sz w:val="20"/>
              <w:szCs w:val="20"/>
              <w:rtl w:val="0"/>
            </w:rPr>
            <w:t xml:space="preserve">01/2020</w:t>
          </w:r>
        </w:p>
        <w:p w:rsidR="00000000" w:rsidDel="00000000" w:rsidP="00000000" w:rsidRDefault="00000000" w:rsidRPr="00000000" w14:paraId="00000048">
          <w:pPr>
            <w:tabs>
              <w:tab w:val="center" w:leader="none" w:pos="4680"/>
              <w:tab w:val="right" w:leader="none" w:pos="9360"/>
              <w:tab w:val="center" w:leader="none" w:pos="5040"/>
              <w:tab w:val="right" w:leader="none" w:pos="10080"/>
            </w:tabs>
            <w:ind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REVISED:</w:t>
          </w:r>
          <w:r w:rsidDel="00000000" w:rsidR="00000000" w:rsidRPr="00000000">
            <w:rPr>
              <w:rFonts w:ascii="Calibri" w:cs="Calibri" w:eastAsia="Calibri" w:hAnsi="Calibri"/>
              <w:sz w:val="20"/>
              <w:szCs w:val="20"/>
              <w:rtl w:val="0"/>
            </w:rPr>
            <w:t xml:space="preserve"> 11/2022</w:t>
          </w:r>
        </w:p>
      </w:tc>
    </w:tr>
    <w:tr>
      <w:trPr>
        <w:cantSplit w:val="0"/>
        <w:trHeight w:val="90" w:hRule="atLeast"/>
        <w:tblHeader w:val="0"/>
      </w:trPr>
      <w:tc>
        <w:tcPr/>
        <w:p w:rsidR="00000000" w:rsidDel="00000000" w:rsidP="00000000" w:rsidRDefault="00000000" w:rsidRPr="00000000" w14:paraId="00000049">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A">
          <w:pPr>
            <w:tabs>
              <w:tab w:val="left" w:leader="none" w:pos="2936"/>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B">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4C">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tabs>
        <w:tab w:val="left" w:leader="none" w:pos="2340"/>
        <w:tab w:val="center" w:leader="none" w:pos="4608"/>
      </w:tabs>
      <w:ind w:left="-480" w:right="-336"/>
      <w:jc w:val="center"/>
    </w:pPr>
    <w:rPr>
      <w:rFonts w:ascii="Arial" w:cs="Arial" w:eastAsia="Arial" w:hAnsi="Arial"/>
      <w:b w:val="1"/>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tabs>
        <w:tab w:val="left" w:pos="2340"/>
        <w:tab w:val="center" w:pos="4608"/>
      </w:tabs>
      <w:ind w:left="-480" w:right="-336"/>
      <w:jc w:val="center"/>
    </w:pPr>
    <w:rPr>
      <w:rFonts w:ascii="Arial" w:cs="Arial" w:eastAsia="Arial" w:hAnsi="Arial"/>
      <w:b w:val="1"/>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tabs>
        <w:tab w:val="left" w:pos="2340"/>
        <w:tab w:val="center" w:pos="4608"/>
      </w:tabs>
      <w:ind w:left="-480" w:right="-336"/>
      <w:jc w:val="center"/>
    </w:pPr>
    <w:rPr>
      <w:rFonts w:ascii="Arial" w:cs="Arial" w:eastAsia="Arial" w:hAnsi="Arial"/>
      <w:b w:val="1"/>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tabs>
        <w:tab w:val="left" w:pos="2340"/>
        <w:tab w:val="center" w:pos="4608"/>
      </w:tabs>
      <w:ind w:left="-480" w:right="-336"/>
      <w:jc w:val="center"/>
    </w:pPr>
    <w:rPr>
      <w:rFonts w:ascii="Arial" w:cs="Arial" w:eastAsia="Arial" w:hAnsi="Arial"/>
      <w:b w:val="1"/>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lsLyWiY5vaJvbPanBNDf53zZA==">CgMxLjA4AHIhMWF0dVljb2ROQThwUFVIbnh5WExxN3FmdXVVXzlHdy1x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