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INTRODUCCIÓN </w:t>
      </w:r>
    </w:p>
    <w:p w:rsidR="00000000" w:rsidDel="00000000" w:rsidP="00000000" w:rsidRDefault="00000000" w:rsidRPr="00000000" w14:paraId="00000004">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microneedling, la dermoabrasión y otros tratamientos físicos de la piel se han utilizado durante muchos años para tratar una variedad de trastornos de la piel. Con estas técnicas se pueden tratar afecciones como la decoloración, el daño solar, las arrugas y las cicatrices del acné. En algunas situaciones, la dermoabrasión se puede realizar al mismo tiempo que otros procedimientos estéticos o quirúrgicos.</w:t>
      </w:r>
    </w:p>
    <w:p w:rsidR="00000000" w:rsidDel="00000000" w:rsidP="00000000" w:rsidRDefault="00000000" w:rsidRPr="00000000" w14:paraId="00000005">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ALTERNATIVAS</w:t>
      </w:r>
    </w:p>
    <w:p w:rsidR="00000000" w:rsidDel="00000000" w:rsidP="00000000" w:rsidRDefault="00000000" w:rsidRPr="00000000" w14:paraId="00000007">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formas alternativas de tratamiento incluyen no tratar la piel con microneedling o dermoabrasión. La mejora del color, la textura y las arrugas de la piel se puede lograr mediante otros tratamientos como inyecciones, peeling químico, tratamiento con láser, radiofrecuencia o ultrasonido, o cirugía para tensar la piel flácida.</w:t>
      </w:r>
    </w:p>
    <w:p w:rsidR="00000000" w:rsidDel="00000000" w:rsidP="00000000" w:rsidRDefault="00000000" w:rsidRPr="00000000" w14:paraId="00000008">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RIESGOS</w:t>
      </w:r>
    </w:p>
    <w:p w:rsidR="00000000" w:rsidDel="00000000" w:rsidP="00000000" w:rsidRDefault="00000000" w:rsidRPr="00000000" w14:paraId="0000000A">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riesgos y complicaciones asociados con la dermoabrasión. La elección de un individuo para someterse a un procedimiento se basa en la comparación de los riesgos con los beneficios potenciales. Aunque la mayoría de los pacientes no experimentan estas complicaciones, debe discutir cada una de ellas con su proveedor para asegurarse de que comprende los riesgos, las posibles complicaciones y las consecuencias de la dermoabrasión.</w:t>
      </w:r>
    </w:p>
    <w:p w:rsidR="00000000" w:rsidDel="00000000" w:rsidP="00000000" w:rsidRDefault="00000000" w:rsidRPr="00000000" w14:paraId="0000000B">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720"/>
          <w:tab w:val="left" w:leader="none" w:pos="0"/>
        </w:tabs>
        <w:spacing w:line="240" w:lineRule="auto"/>
        <w:ind w:left="-180" w:firstLine="0"/>
        <w:rPr>
          <w:rFonts w:ascii="Calibri" w:cs="Calibri" w:eastAsia="Calibri" w:hAnsi="Calibri"/>
          <w:sz w:val="24"/>
          <w:szCs w:val="24"/>
        </w:rPr>
        <w:sectPr>
          <w:headerReference r:id="rId7"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1"/>
          <w:sz w:val="24"/>
          <w:szCs w:val="24"/>
          <w:u w:val="single"/>
          <w:rtl w:val="0"/>
        </w:rPr>
        <w:t xml:space="preserve">LOS RIESGOS INCLUYEN:</w:t>
      </w:r>
      <w:r w:rsidDel="00000000" w:rsidR="00000000" w:rsidRPr="00000000">
        <w:rPr>
          <w:rtl w:val="0"/>
        </w:rPr>
      </w:r>
    </w:p>
    <w:p w:rsidR="00000000" w:rsidDel="00000000" w:rsidP="00000000" w:rsidRDefault="00000000" w:rsidRPr="00000000" w14:paraId="0000000D">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Infección</w:t>
      </w:r>
    </w:p>
    <w:p w:rsidR="00000000" w:rsidDel="00000000" w:rsidP="00000000" w:rsidRDefault="00000000" w:rsidRPr="00000000" w14:paraId="0000000E">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Herpes labial</w:t>
      </w:r>
    </w:p>
    <w:p w:rsidR="00000000" w:rsidDel="00000000" w:rsidP="00000000" w:rsidRDefault="00000000" w:rsidRPr="00000000" w14:paraId="0000000F">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Aclaración u oscurecimiento de la piel</w:t>
      </w:r>
    </w:p>
    <w:p w:rsidR="00000000" w:rsidDel="00000000" w:rsidP="00000000" w:rsidRDefault="00000000" w:rsidRPr="00000000" w14:paraId="00000010">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Sensibilidad de la piel</w:t>
      </w:r>
    </w:p>
    <w:p w:rsidR="00000000" w:rsidDel="00000000" w:rsidP="00000000" w:rsidRDefault="00000000" w:rsidRPr="00000000" w14:paraId="00000011">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Cicatrización lenta</w:t>
      </w:r>
    </w:p>
    <w:p w:rsidR="00000000" w:rsidDel="00000000" w:rsidP="00000000" w:rsidRDefault="00000000" w:rsidRPr="00000000" w14:paraId="00000012">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Respuesta incompleta</w:t>
      </w:r>
    </w:p>
    <w:p w:rsidR="00000000" w:rsidDel="00000000" w:rsidP="00000000" w:rsidRDefault="00000000" w:rsidRPr="00000000" w14:paraId="00000013">
      <w:pPr>
        <w:tabs>
          <w:tab w:val="left" w:leader="none" w:pos="-720"/>
          <w:tab w:val="left" w:leader="none" w:pos="0"/>
        </w:tabs>
        <w:spacing w:line="240" w:lineRule="auto"/>
        <w:ind w:left="-180" w:firstLine="0"/>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sz w:val="24"/>
          <w:szCs w:val="24"/>
          <w:rtl w:val="0"/>
        </w:rPr>
        <w:t xml:space="preserve">Queloides o cicatrices</w:t>
      </w:r>
    </w:p>
    <w:p w:rsidR="00000000" w:rsidDel="00000000" w:rsidP="00000000" w:rsidRDefault="00000000" w:rsidRPr="00000000" w14:paraId="00000014">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19">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cuatro (4) afirmaciones:</w:t>
      </w:r>
    </w:p>
    <w:p w:rsidR="00000000" w:rsidDel="00000000" w:rsidP="00000000" w:rsidRDefault="00000000" w:rsidRPr="00000000" w14:paraId="0000001A">
      <w:pPr>
        <w:numPr>
          <w:ilvl w:val="0"/>
          <w:numId w:val="1"/>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estoy embarazada ni amamantando activamente</w:t>
      </w:r>
    </w:p>
    <w:p w:rsidR="00000000" w:rsidDel="00000000" w:rsidP="00000000" w:rsidRDefault="00000000" w:rsidRPr="00000000" w14:paraId="0000001B">
      <w:pPr>
        <w:numPr>
          <w:ilvl w:val="0"/>
          <w:numId w:val="1"/>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he tomado Accutane o isotretinoína en los últimos 6 meses.</w:t>
      </w:r>
    </w:p>
    <w:p w:rsidR="00000000" w:rsidDel="00000000" w:rsidP="00000000" w:rsidRDefault="00000000" w:rsidRPr="00000000" w14:paraId="0000001C">
      <w:pPr>
        <w:numPr>
          <w:ilvl w:val="0"/>
          <w:numId w:val="1"/>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infecciones activas en la piel</w:t>
      </w:r>
    </w:p>
    <w:p w:rsidR="00000000" w:rsidDel="00000000" w:rsidP="00000000" w:rsidRDefault="00000000" w:rsidRPr="00000000" w14:paraId="0000001D">
      <w:pPr>
        <w:numPr>
          <w:ilvl w:val="0"/>
          <w:numId w:val="1"/>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antecedentes de formación de queloides, cicatrización excesiva o mala (diabetes u otras afecciones)</w:t>
      </w:r>
    </w:p>
    <w:p w:rsidR="00000000" w:rsidDel="00000000" w:rsidP="00000000" w:rsidRDefault="00000000" w:rsidRPr="00000000" w14:paraId="0000001E">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siguientes son consideraciones importantes del tratamiento que debe discutir y comprender con nosotros para ayudar a evitar resultados insatisfactorios y complicaciones. Informaré a mi proveedor antes del tratamiento si se cumple alguna de las siguientes:</w:t>
      </w:r>
    </w:p>
    <w:p w:rsidR="00000000" w:rsidDel="00000000" w:rsidP="00000000" w:rsidRDefault="00000000" w:rsidRPr="00000000" w14:paraId="00000020">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2"/>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formación de queloides, curación/cicatrización pobre o excesiva (diabetes y otras afecciones)</w:t>
      </w:r>
    </w:p>
    <w:p w:rsidR="00000000" w:rsidDel="00000000" w:rsidP="00000000" w:rsidRDefault="00000000" w:rsidRPr="00000000" w14:paraId="00000022">
      <w:pPr>
        <w:numPr>
          <w:ilvl w:val="0"/>
          <w:numId w:val="2"/>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Estoy tomando algún medicamento que pueda causar fotosensibilidad</w:t>
      </w:r>
    </w:p>
    <w:p w:rsidR="00000000" w:rsidDel="00000000" w:rsidP="00000000" w:rsidRDefault="00000000" w:rsidRPr="00000000" w14:paraId="00000023">
      <w:pPr>
        <w:numPr>
          <w:ilvl w:val="0"/>
          <w:numId w:val="2"/>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una enfermedad autoinmunitaria o cualquier inmunodeficiencia</w:t>
      </w:r>
    </w:p>
    <w:p w:rsidR="00000000" w:rsidDel="00000000" w:rsidP="00000000" w:rsidRDefault="00000000" w:rsidRPr="00000000" w14:paraId="00000024">
      <w:pPr>
        <w:numPr>
          <w:ilvl w:val="0"/>
          <w:numId w:val="2"/>
        </w:numPr>
        <w:tabs>
          <w:tab w:val="left" w:leader="none" w:pos="-720"/>
          <w:tab w:val="left" w:leader="none" w:pos="0"/>
        </w:tabs>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herpes</w:t>
      </w:r>
    </w:p>
    <w:p w:rsidR="00000000" w:rsidDel="00000000" w:rsidP="00000000" w:rsidRDefault="00000000" w:rsidRPr="00000000" w14:paraId="00000025">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RESULTADOS</w:t>
      </w:r>
    </w:p>
    <w:p w:rsidR="00000000" w:rsidDel="00000000" w:rsidP="00000000" w:rsidRDefault="00000000" w:rsidRPr="00000000" w14:paraId="00000027">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el grado real de mejora no se puede predecir ni garantizar. Además, comprendo que el efecto disminuirá gradualmente y que pueden ser necesarios tratamientos adicionales para mantener el efecto deseado.</w:t>
      </w:r>
    </w:p>
    <w:p w:rsidR="00000000" w:rsidDel="00000000" w:rsidP="00000000" w:rsidRDefault="00000000" w:rsidRPr="00000000" w14:paraId="00000028">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2A">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RESPONSABILIDADES FINANCIERAS</w:t>
      </w:r>
    </w:p>
    <w:p w:rsidR="00000000" w:rsidDel="00000000" w:rsidP="00000000" w:rsidRDefault="00000000" w:rsidRPr="00000000" w14:paraId="0000002C">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 la dermoabrasión puede implicar varios cargos. Esto incluiría tratamientos repetidos. Los costos adicionales del tratamiento médico serían su responsabilidad si se presentan complicaciones de la dermoabrasión.</w:t>
      </w:r>
      <w:r w:rsidDel="00000000" w:rsidR="00000000" w:rsidRPr="00000000">
        <w:rPr>
          <w:rtl w:val="0"/>
        </w:rPr>
      </w:r>
    </w:p>
    <w:p w:rsidR="00000000" w:rsidDel="00000000" w:rsidP="00000000" w:rsidRDefault="00000000" w:rsidRPr="00000000" w14:paraId="0000002D">
      <w:pPr>
        <w:pageBreakBefore w:val="0"/>
        <w:tabs>
          <w:tab w:val="left" w:leader="none" w:pos="9450"/>
        </w:tabs>
        <w:spacing w:line="240"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pageBreakBefore w:val="0"/>
        <w:spacing w:after="160"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2F">
      <w:pPr>
        <w:pageBreakBefore w:val="0"/>
        <w:spacing w:after="160"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microneedling y la dermoabrasión se han utilizado durante décadas y tienen un perfil de seguridad sobresaliente. Sin embargo, entiendo que los riesgos pueden no ser completamente conocidos.</w:t>
      </w:r>
    </w:p>
    <w:p w:rsidR="00000000" w:rsidDel="00000000" w:rsidP="00000000" w:rsidRDefault="00000000" w:rsidRPr="00000000" w14:paraId="00000030">
      <w:pPr>
        <w:pageBreakBefore w:val="0"/>
        <w:spacing w:after="160"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pageBreakBefore w:val="0"/>
        <w:spacing w:after="160"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pageBreakBefore w:val="0"/>
        <w:spacing w:after="160"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33">
      <w:pPr>
        <w:pageBreakBefore w:val="0"/>
        <w:spacing w:after="160"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 la posibilidad de una respuesta pobre o insuficiente de cualquier tratamiento. Los resultados completos pueden tardar varias semanas en aparecer.</w:t>
      </w:r>
    </w:p>
    <w:p w:rsidR="00000000" w:rsidDel="00000000" w:rsidP="00000000" w:rsidRDefault="00000000" w:rsidRPr="00000000" w14:paraId="00000034">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35">
      <w:pPr>
        <w:tabs>
          <w:tab w:val="left" w:leader="none" w:pos="-720"/>
          <w:tab w:val="left" w:leader="none" w:pos="0"/>
        </w:tabs>
        <w:spacing w:line="240" w:lineRule="auto"/>
        <w:ind w:left="-18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w:t>
      </w:r>
      <w:r w:rsidDel="00000000" w:rsidR="00000000" w:rsidRPr="00000000">
        <w:rPr>
          <w:rFonts w:ascii="Calibri" w:cs="Calibri" w:eastAsia="Calibri" w:hAnsi="Calibri"/>
          <w:b w:val="1"/>
          <w:sz w:val="24"/>
          <w:szCs w:val="24"/>
          <w:rtl w:val="0"/>
        </w:rPr>
        <w:t xml:space="preserve">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6">
      <w:pPr>
        <w:tabs>
          <w:tab w:val="left" w:leader="none" w:pos="-720"/>
          <w:tab w:val="left" w:leader="none" w:pos="0"/>
        </w:tabs>
        <w:spacing w:line="240" w:lineRule="auto"/>
        <w:ind w:left="-1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tabs>
          <w:tab w:val="left" w:leader="none" w:pos="-720"/>
          <w:tab w:val="left" w:leader="none" w:pos="0"/>
        </w:tabs>
        <w:spacing w:line="240" w:lineRule="auto"/>
        <w:ind w:left="-1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spacing w:after="160" w:line="259" w:lineRule="auto"/>
        <w:ind w:left="-180" w:firstLine="0"/>
        <w:rPr>
          <w:rFonts w:ascii="Calibri" w:cs="Calibri" w:eastAsia="Calibri" w:hAnsi="Calibri"/>
        </w:rPr>
      </w:pPr>
      <w:r w:rsidDel="00000000" w:rsidR="00000000" w:rsidRPr="00000000">
        <w:rPr>
          <w:rFonts w:ascii="Calibri" w:cs="Calibri" w:eastAsia="Calibri" w:hAnsi="Calibri"/>
          <w:rtl w:val="0"/>
        </w:rPr>
        <w:t xml:space="preserve">Nombre: ____________________________________________  </w:t>
      </w:r>
    </w:p>
    <w:p w:rsidR="00000000" w:rsidDel="00000000" w:rsidP="00000000" w:rsidRDefault="00000000" w:rsidRPr="00000000" w14:paraId="00000039">
      <w:pPr>
        <w:spacing w:after="160" w:line="259" w:lineRule="auto"/>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160" w:line="259" w:lineRule="auto"/>
        <w:ind w:left="-180" w:firstLine="0"/>
        <w:rPr>
          <w:rFonts w:ascii="Calibri" w:cs="Calibri" w:eastAsia="Calibri" w:hAnsi="Calibri"/>
        </w:rPr>
      </w:pPr>
      <w:r w:rsidDel="00000000" w:rsidR="00000000" w:rsidRPr="00000000">
        <w:rPr>
          <w:rFonts w:ascii="Calibri" w:cs="Calibri" w:eastAsia="Calibri" w:hAnsi="Calibri"/>
          <w:rtl w:val="0"/>
        </w:rPr>
        <w:t xml:space="preserve">Firma:_________________________________________ Fecha:________________ </w:t>
      </w:r>
    </w:p>
    <w:p w:rsidR="00000000" w:rsidDel="00000000" w:rsidP="00000000" w:rsidRDefault="00000000" w:rsidRPr="00000000" w14:paraId="0000003B">
      <w:pPr>
        <w:tabs>
          <w:tab w:val="left" w:leader="none" w:pos="-720"/>
          <w:tab w:val="left" w:leader="none" w:pos="0"/>
        </w:tabs>
        <w:spacing w:line="240" w:lineRule="auto"/>
        <w:ind w:left="-1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tabs>
          <w:tab w:val="left" w:leader="none" w:pos="-720"/>
          <w:tab w:val="left" w:leader="none" w:pos="0"/>
        </w:tabs>
        <w:spacing w:line="240" w:lineRule="auto"/>
        <w:ind w:left="-1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0"/>
        </w:tabs>
        <w:spacing w:line="240" w:lineRule="auto"/>
        <w:ind w:left="-180"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E">
      <w:pPr>
        <w:pageBreakBefore w:val="0"/>
        <w:tabs>
          <w:tab w:val="left" w:leader="none" w:pos="-720"/>
          <w:tab w:val="left" w:leader="none" w:pos="0"/>
          <w:tab w:val="left" w:leader="none" w:pos="8280"/>
          <w:tab w:val="left" w:leader="none" w:pos="10080"/>
          <w:tab w:val="left" w:leader="none" w:pos="10170"/>
        </w:tabs>
        <w:spacing w:line="240" w:lineRule="auto"/>
        <w:ind w:right="54"/>
        <w:rPr>
          <w:rFonts w:ascii="Calibri" w:cs="Calibri" w:eastAsia="Calibri" w:hAnsi="Calibri"/>
          <w:b w:val="1"/>
          <w:sz w:val="24"/>
          <w:szCs w:val="24"/>
          <w:u w:val="singl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widowControl w:val="0"/>
      <w:rPr>
        <w:rFonts w:ascii="Calibri" w:cs="Calibri" w:eastAsia="Calibri" w:hAnsi="Calibri"/>
        <w:b w:val="1"/>
        <w:sz w:val="24"/>
        <w:szCs w:val="24"/>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4100"/>
      <w:gridCol w:w="3420"/>
      <w:tblGridChange w:id="0">
        <w:tblGrid>
          <w:gridCol w:w="3300"/>
          <w:gridCol w:w="4100"/>
          <w:gridCol w:w="3420"/>
        </w:tblGrid>
      </w:tblGridChange>
    </w:tblGrid>
    <w:tr>
      <w:trPr>
        <w:cantSplit w:val="0"/>
        <w:trHeight w:val="1637" w:hRule="atLeast"/>
        <w:tblHeader w:val="0"/>
      </w:trPr>
      <w:tc>
        <w:tcPr/>
        <w:p w:rsidR="00000000" w:rsidDel="00000000" w:rsidP="00000000" w:rsidRDefault="00000000" w:rsidRPr="00000000" w14:paraId="00000040">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line="240" w:lineRule="auto"/>
            <w:ind w:hanging="2"/>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3">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45">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tabs>
              <w:tab w:val="center" w:leader="none" w:pos="4680"/>
              <w:tab w:val="right" w:leader="none" w:pos="9360"/>
            </w:tabs>
            <w:spacing w:line="240" w:lineRule="auto"/>
            <w:ind w:left="1" w:hanging="3"/>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MICRONEEDLING O DERMOABRASIÓN</w:t>
          </w:r>
          <w:r w:rsidDel="00000000" w:rsidR="00000000" w:rsidRPr="00000000">
            <w:rPr>
              <w:rtl w:val="0"/>
            </w:rPr>
          </w:r>
        </w:p>
      </w:tc>
      <w:tc>
        <w:tcPr/>
        <w:p w:rsidR="00000000" w:rsidDel="00000000" w:rsidP="00000000" w:rsidRDefault="00000000" w:rsidRPr="00000000" w14:paraId="00000047">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CREATED: 01/2020</w:t>
          </w:r>
        </w:p>
        <w:p w:rsidR="00000000" w:rsidDel="00000000" w:rsidP="00000000" w:rsidRDefault="00000000" w:rsidRPr="00000000" w14:paraId="00000048">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9">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REVIEWED AND REVISED: 11/2022, 3/2023</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A">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B">
          <w:pPr>
            <w:tabs>
              <w:tab w:val="left" w:leader="none" w:pos="2936"/>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C">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4D">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4E">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vthB7RadVGEINk/km2z3BJhg==">CgMxLjA4AGofChRzdWdnZXN0LjNhbTJmNjJ0cXVobhIHUGFvbG8gUGofChRzdWdnZXN0Lm5oeG43emRuYmFiYhIHUGFvbG8gUGofChRzdWdnZXN0LnlvYmEwc25haTFpYhIHUGFvbG8gUGofChRzdWdnZXN0LnNyZjc0bDd6eGhwNhIHUGFvbG8gUGofChRzdWdnZXN0LmdrcjZ3NzVybjRiNBIHUGFvbG8gUHIhMWQxanZqQXE5MDYzczRvYjQ2VXE5dVhLTmU3LUoxVGNX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