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rPr>
          <w:rFonts w:ascii="Calibri" w:cs="Calibri" w:eastAsia="Calibri" w:hAnsi="Calibri"/>
        </w:rPr>
      </w:pPr>
      <w:r w:rsidDel="00000000" w:rsidR="00000000" w:rsidRPr="00000000">
        <w:rPr>
          <w:rtl w:val="0"/>
        </w:rPr>
      </w:r>
    </w:p>
    <w:tbl>
      <w:tblPr>
        <w:tblStyle w:val="Table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4380"/>
        <w:gridCol w:w="3420"/>
        <w:tblGridChange w:id="0">
          <w:tblGrid>
            <w:gridCol w:w="3000"/>
            <w:gridCol w:w="4380"/>
            <w:gridCol w:w="3420"/>
          </w:tblGrid>
        </w:tblGridChange>
      </w:tblGrid>
      <w:tr>
        <w:trPr>
          <w:cantSplit w:val="0"/>
          <w:trHeight w:val="1523" w:hRule="atLeast"/>
          <w:tblHeader w:val="0"/>
        </w:trPr>
        <w:tc>
          <w:tcPr/>
          <w:p w:rsidR="00000000" w:rsidDel="00000000" w:rsidP="00000000" w:rsidRDefault="00000000" w:rsidRPr="00000000" w14:paraId="00000002">
            <w:pPr>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360" w:lineRule="auto"/>
              <w:ind w:left="-15" w:firstLine="0"/>
              <w:rPr>
                <w:rFonts w:ascii="Calibri" w:cs="Calibri" w:eastAsia="Calibri" w:hAnsi="Calibri"/>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1752600" cy="457200"/>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2600" cy="457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w:t>
            </w:r>
          </w:p>
          <w:p w:rsidR="00000000" w:rsidDel="00000000" w:rsidP="00000000" w:rsidRDefault="00000000" w:rsidRPr="00000000" w14:paraId="00000006">
            <w:pPr>
              <w:tabs>
                <w:tab w:val="center" w:leader="none" w:pos="4680"/>
                <w:tab w:val="right" w:leader="none" w:pos="9360"/>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PROCEDIMIENTO DE ELIMINACIÓN DE ETIQUETAS CUTÁNEAS </w:t>
            </w:r>
            <w:r w:rsidDel="00000000" w:rsidR="00000000" w:rsidRPr="00000000">
              <w:rPr>
                <w:rtl w:val="0"/>
              </w:rPr>
            </w:r>
          </w:p>
          <w:p w:rsidR="00000000" w:rsidDel="00000000" w:rsidP="00000000" w:rsidRDefault="00000000" w:rsidRPr="00000000" w14:paraId="00000007">
            <w:pPr>
              <w:tabs>
                <w:tab w:val="center" w:leader="none" w:pos="4680"/>
                <w:tab w:val="right" w:leader="none" w:pos="9360"/>
              </w:tabs>
              <w:spacing w:after="0" w:line="259" w:lineRule="auto"/>
              <w:jc w:val="center"/>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08">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09">
            <w:pPr>
              <w:tabs>
                <w:tab w:val="center" w:leader="none" w:pos="4680"/>
                <w:tab w:val="right" w:leader="none" w:pos="9360"/>
                <w:tab w:val="center" w:leader="none" w:pos="5040"/>
                <w:tab w:val="right" w:leader="none" w:pos="10080"/>
              </w:tabs>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 w:val="center" w:leader="none" w:pos="5040"/>
                <w:tab w:val="right" w:leader="none" w:pos="10080"/>
              </w:tabs>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AND REVISED: </w:t>
            </w:r>
            <w:r w:rsidDel="00000000" w:rsidR="00000000" w:rsidRPr="00000000">
              <w:rPr>
                <w:rFonts w:ascii="Calibri" w:cs="Calibri" w:eastAsia="Calibri" w:hAnsi="Calibri"/>
                <w:sz w:val="20"/>
                <w:szCs w:val="20"/>
                <w:rtl w:val="0"/>
              </w:rPr>
              <w:t xml:space="preserve">05/2023</w:t>
            </w:r>
          </w:p>
        </w:tc>
      </w:tr>
      <w:tr>
        <w:trPr>
          <w:cantSplit w:val="0"/>
          <w:trHeight w:val="497" w:hRule="atLeast"/>
          <w:tblHeader w:val="0"/>
        </w:trPr>
        <w:tc>
          <w:tcPr/>
          <w:p w:rsidR="00000000" w:rsidDel="00000000" w:rsidP="00000000" w:rsidRDefault="00000000" w:rsidRPr="00000000" w14:paraId="0000000B">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0C">
            <w:pPr>
              <w:tabs>
                <w:tab w:val="left" w:leader="none" w:pos="2936"/>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0D">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0E">
            <w:pPr>
              <w:tabs>
                <w:tab w:val="center" w:leader="none" w:pos="4680"/>
                <w:tab w:val="right" w:leader="none" w:pos="9360"/>
                <w:tab w:val="center" w:leader="none" w:pos="5040"/>
                <w:tab w:val="right" w:leader="none" w:pos="10080"/>
              </w:tabs>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0F">
      <w:pPr>
        <w:spacing w:line="240" w:lineRule="auto"/>
        <w:ind w:left="-1.9999999999999998" w:firstLine="0"/>
        <w:jc w:val="both"/>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10">
      <w:pPr>
        <w:spacing w:line="240" w:lineRule="auto"/>
        <w:ind w:left="-1.999999999999999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p>
    <w:p w:rsidR="00000000" w:rsidDel="00000000" w:rsidP="00000000" w:rsidRDefault="00000000" w:rsidRPr="00000000" w14:paraId="00000011">
      <w:pPr>
        <w:spacing w:line="240" w:lineRule="auto"/>
        <w:ind w:left="-1.999999999999999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1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etiquetas cutáneas (acrocordones) son lesiones benignas que pueden eliminarse mediante tijeras estériles, bisturís estériles o nitrógeno líquido. Hay varios beneficios en la eliminación de etiquetas cutáneas, que incluyen:</w:t>
      </w:r>
    </w:p>
    <w:p w:rsidR="00000000" w:rsidDel="00000000" w:rsidP="00000000" w:rsidRDefault="00000000" w:rsidRPr="00000000" w14:paraId="00000014">
      <w:pPr>
        <w:numPr>
          <w:ilvl w:val="0"/>
          <w:numId w:val="1"/>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Eliminar lesiones cutáneas que sobresalen y dificultan el afeitado.</w:t>
      </w:r>
    </w:p>
    <w:p w:rsidR="00000000" w:rsidDel="00000000" w:rsidP="00000000" w:rsidRDefault="00000000" w:rsidRPr="00000000" w14:paraId="00000015">
      <w:pPr>
        <w:numPr>
          <w:ilvl w:val="0"/>
          <w:numId w:val="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Reducir la irritación y la infección cutánea que pueden ocurrir cuando ciertas lesiones cutáneas rozan contra la ropa y/o las joyas.</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Lograr una piel más suave y clara.</w:t>
      </w:r>
    </w:p>
    <w:p w:rsidR="00000000" w:rsidDel="00000000" w:rsidP="00000000" w:rsidRDefault="00000000" w:rsidRPr="00000000" w14:paraId="00000017">
      <w:pPr>
        <w:numPr>
          <w:ilvl w:val="0"/>
          <w:numId w:val="1"/>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Mejorar la apariencia y aumentar la autoestima.</w:t>
      </w:r>
    </w:p>
    <w:p w:rsidR="00000000" w:rsidDel="00000000" w:rsidP="00000000" w:rsidRDefault="00000000" w:rsidRPr="00000000" w14:paraId="00000018">
      <w:pPr>
        <w:spacing w:after="240" w:before="240" w:line="276" w:lineRule="auto"/>
        <w:ind w:left="0" w:firstLine="0"/>
        <w:rPr>
          <w:rFonts w:ascii="Calibri" w:cs="Calibri" w:eastAsia="Calibri" w:hAnsi="Calibri"/>
          <w:b w:val="1"/>
        </w:rPr>
      </w:pPr>
      <w:r w:rsidDel="00000000" w:rsidR="00000000" w:rsidRPr="00000000">
        <w:rPr>
          <w:rFonts w:ascii="Calibri" w:cs="Calibri" w:eastAsia="Calibri" w:hAnsi="Calibri"/>
          <w:sz w:val="24"/>
          <w:szCs w:val="24"/>
          <w:rtl w:val="0"/>
        </w:rPr>
        <w:t xml:space="preserve">Este procedimiento de eliminación de lesiones cutáneas puede considerarse COSMÉTICO. </w:t>
      </w:r>
      <w:r w:rsidDel="00000000" w:rsidR="00000000" w:rsidRPr="00000000">
        <w:rPr>
          <w:rtl w:val="0"/>
        </w:rPr>
      </w:r>
    </w:p>
    <w:p w:rsidR="00000000" w:rsidDel="00000000" w:rsidP="00000000" w:rsidRDefault="00000000" w:rsidRPr="00000000" w14:paraId="00000019">
      <w:pPr>
        <w:pageBreakBefore w:val="0"/>
        <w:tabs>
          <w:tab w:val="left" w:leader="none" w:pos="2493"/>
        </w:tabs>
        <w:spacing w:after="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1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procedimiento conlleva cierto riesgo, y es importante que comprenda los riesgos involucrados. La decisión de un individuo de someterse a tratamiento para etiquetas cutáneas se basa en la comparación del riesgo con el beneficio potencial. Aunque la mayoría de los pacientes no experimentan las siguientes complicaciones, debe discutir cada una de ellas con su proveedor para asegurarse de entender los riesgos, las posibles complicaciones y las consecuencias de este procedimiento.</w:t>
      </w:r>
    </w:p>
    <w:p w:rsidR="00000000" w:rsidDel="00000000" w:rsidP="00000000" w:rsidRDefault="00000000" w:rsidRPr="00000000" w14:paraId="0000001B">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2"/>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Las posibles complicaciones/riesgos más probables del procedimiento propuesto y del período de curación posterior, incluyen infección, cicatrización y decoloración de la piel.</w:t>
      </w:r>
    </w:p>
    <w:p w:rsidR="00000000" w:rsidDel="00000000" w:rsidP="00000000" w:rsidRDefault="00000000" w:rsidRPr="00000000" w14:paraId="0000001D">
      <w:pPr>
        <w:numPr>
          <w:ilvl w:val="0"/>
          <w:numId w:val="2"/>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 puede experimentar cierta molestia temporal durante y después del procedimiento.</w:t>
      </w:r>
    </w:p>
    <w:p w:rsidR="00000000" w:rsidDel="00000000" w:rsidP="00000000" w:rsidRDefault="00000000" w:rsidRPr="00000000" w14:paraId="0000001E">
      <w:pPr>
        <w:numPr>
          <w:ilvl w:val="0"/>
          <w:numId w:val="2"/>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Reacción alérgica: puede ser necesaria anestesia local o inyectable para aliviar la incomodidad durante el procedimiento. Informe a su proveedor si es alérgico a la lidocaína o a cualquier otro anestésico tópico o inyectable.</w:t>
      </w:r>
    </w:p>
    <w:p w:rsidR="00000000" w:rsidDel="00000000" w:rsidP="00000000" w:rsidRDefault="00000000" w:rsidRPr="00000000" w14:paraId="0000001F">
      <w:pPr>
        <w:numPr>
          <w:ilvl w:val="0"/>
          <w:numId w:val="2"/>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Infección: la infección cutánea es una posibilidad, aunque rara, cada vez que se realiza un procedimiento cutáneo. Puede ser necesario el uso de antibióticos tópicos u orales si ocurre una infección.</w:t>
      </w:r>
    </w:p>
    <w:p w:rsidR="00000000" w:rsidDel="00000000" w:rsidP="00000000" w:rsidRDefault="00000000" w:rsidRPr="00000000" w14:paraId="00000020">
      <w:pPr>
        <w:numPr>
          <w:ilvl w:val="0"/>
          <w:numId w:val="2"/>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Sangrado: puede ocurrir sangrado con la eliminación de las lesiones. Informe a su proveedor si tiene algún trastorno hemorrágico o toma medicamentos anticoagulantes.</w:t>
      </w:r>
    </w:p>
    <w:p w:rsidR="00000000" w:rsidDel="00000000" w:rsidP="00000000" w:rsidRDefault="00000000" w:rsidRPr="00000000" w14:paraId="00000021">
      <w:pPr>
        <w:numPr>
          <w:ilvl w:val="0"/>
          <w:numId w:val="2"/>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Cambios en el color de la piel: durante el proceso de curación, existe la posibilidad de que el área tratada se aclare o oscurezca en comparación con la piel circundante. Esto suele ser temporal, pero en raras ocasiones puede ser permanente.</w:t>
      </w:r>
    </w:p>
    <w:p w:rsidR="00000000" w:rsidDel="00000000" w:rsidP="00000000" w:rsidRDefault="00000000" w:rsidRPr="00000000" w14:paraId="00000022">
      <w:pPr>
        <w:numPr>
          <w:ilvl w:val="0"/>
          <w:numId w:val="2"/>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Cicatrización: esto es poco común pero una posibilidad cuando la superficie de la piel se ve afectada. Para minimizar las posibilidades de cicatrices, es IMPORTANTE que siga todas las instrucciones posteriores al tratamiento cuidadosamente e informe a su proveedor sobre cualquier historial de cicatrices con procedimientos similares.</w:t>
      </w:r>
    </w:p>
    <w:p w:rsidR="00000000" w:rsidDel="00000000" w:rsidP="00000000" w:rsidRDefault="00000000" w:rsidRPr="00000000" w14:paraId="00000023">
      <w:pPr>
        <w:pageBreakBefore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CONTRAINDICACIONES</w:t>
      </w:r>
    </w:p>
    <w:p w:rsidR="00000000" w:rsidDel="00000000" w:rsidP="00000000" w:rsidRDefault="00000000" w:rsidRPr="00000000" w14:paraId="0000002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estoy considerando este tratamiento, estoy de acuerdo con las siguientes afirmaciones:</w:t>
      </w:r>
    </w:p>
    <w:p w:rsidR="00000000" w:rsidDel="00000000" w:rsidP="00000000" w:rsidRDefault="00000000" w:rsidRPr="00000000" w14:paraId="00000026">
      <w:pPr>
        <w:numPr>
          <w:ilvl w:val="0"/>
          <w:numId w:val="3"/>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Actualmente no estoy embarazada ni amamantando, e informaré a mi proveedor si tengo la intención de quedar embarazada o quedo embarazada.</w:t>
      </w:r>
    </w:p>
    <w:p w:rsidR="00000000" w:rsidDel="00000000" w:rsidP="00000000" w:rsidRDefault="00000000" w:rsidRPr="00000000" w14:paraId="00000027">
      <w:pPr>
        <w:numPr>
          <w:ilvl w:val="0"/>
          <w:numId w:val="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tengo hipersensibilidad/alergia conocida al medicamento propuesto (lidocaína).</w:t>
      </w:r>
    </w:p>
    <w:p w:rsidR="00000000" w:rsidDel="00000000" w:rsidP="00000000" w:rsidRDefault="00000000" w:rsidRPr="00000000" w14:paraId="00000028">
      <w:pPr>
        <w:numPr>
          <w:ilvl w:val="0"/>
          <w:numId w:val="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tengo infecciones cutáneas activas en el área propuesta para el tratamiento.</w:t>
      </w:r>
    </w:p>
    <w:p w:rsidR="00000000" w:rsidDel="00000000" w:rsidP="00000000" w:rsidRDefault="00000000" w:rsidRPr="00000000" w14:paraId="00000029">
      <w:pPr>
        <w:numPr>
          <w:ilvl w:val="0"/>
          <w:numId w:val="3"/>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tengo trastornos hemorrágicos (hemofilia A [deficiencia de factor VIII], hemofilia B [deficiencia de factor IX] o enfermedad de Von Willebrand).</w:t>
      </w:r>
    </w:p>
    <w:p w:rsidR="00000000" w:rsidDel="00000000" w:rsidP="00000000" w:rsidRDefault="00000000" w:rsidRPr="00000000" w14:paraId="0000002A">
      <w:pPr>
        <w:numPr>
          <w:ilvl w:val="0"/>
          <w:numId w:val="3"/>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Tengo antecedentes de formación de queloides, cicatrices excesivas o una mala cicatrización (diabetes u otras condiciones).</w:t>
      </w: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RESPONSABILIDAD FINANCIERAS</w:t>
      </w:r>
    </w:p>
    <w:p w:rsidR="00000000" w:rsidDel="00000000" w:rsidP="00000000" w:rsidRDefault="00000000" w:rsidRPr="00000000" w14:paraId="0000002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costo de todos los medicamentos será su responsabilidad, así como cualquier complicación que pueda surgir por el uso de dichos medicamentos.</w:t>
      </w:r>
    </w:p>
    <w:p w:rsidR="00000000" w:rsidDel="00000000" w:rsidP="00000000" w:rsidRDefault="00000000" w:rsidRPr="00000000" w14:paraId="0000002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RIESGO A LARGO PLAZO</w:t>
      </w:r>
    </w:p>
    <w:p w:rsidR="00000000" w:rsidDel="00000000" w:rsidP="00000000" w:rsidRDefault="00000000" w:rsidRPr="00000000" w14:paraId="0000002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los riesgos de usar estos medicamentos pueden no conocerse completamente. La información presentada se basa en estudios recientes realizados durante muchos años. Aunque se considera seguro, Portrait y su personal no son responsables de ningún riesgo derivado de tratamientos tópicos o procedimientos no descubiertos o comúnmente conocidos.</w:t>
      </w:r>
    </w:p>
    <w:p w:rsidR="00000000" w:rsidDel="00000000" w:rsidP="00000000" w:rsidRDefault="00000000" w:rsidRPr="00000000" w14:paraId="0000003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RESULTADO INSATISFACTORIO</w:t>
      </w:r>
    </w:p>
    <w:p w:rsidR="00000000" w:rsidDel="00000000" w:rsidP="00000000" w:rsidRDefault="00000000" w:rsidRPr="00000000" w14:paraId="0000003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que no se puede predecir ni garantizar el grado real de mejora. Además, entiendo que el efecto puede no ser permanente y que pueden ser necesarios otros enfoques alternativos para lograr el efecto deseado.</w:t>
      </w:r>
    </w:p>
    <w:p w:rsidR="00000000" w:rsidDel="00000000" w:rsidP="00000000" w:rsidRDefault="00000000" w:rsidRPr="00000000" w14:paraId="0000003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3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38">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 entender este documento en español. </w:t>
      </w:r>
    </w:p>
    <w:p w:rsidR="00000000" w:rsidDel="00000000" w:rsidP="00000000" w:rsidRDefault="00000000" w:rsidRPr="00000000" w14:paraId="00000039">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Reconozco que he leído este formulario de consentimiento y he discutido o se me ha ofrecido discutir los posibles resultados de los tratamientos tópicos y procedimientos para el melasma con el médico y/o el equipo de atención. Entiendo que mi atención será proporcionada por un Enfermero Practicante, Médico o Asistente Médico calificado que ha sido capacitado de acuerdo con las pautas profesionales. Consiento en el uso de los medicamentos tópicos mencionados anteriormente con el objetivo de lograr los resultados beneficiosos deseados. Entiendo que, aunque se hará todo esfuerzo razonable para lograr un resultado deseable, no se declara ni se implica ninguna garantía.</w:t>
      </w:r>
    </w:p>
    <w:p w:rsidR="00000000" w:rsidDel="00000000" w:rsidP="00000000" w:rsidRDefault="00000000" w:rsidRPr="00000000" w14:paraId="0000003A">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Entiendo que puedo rechazar o interrumpir el tratamiento en cualquier momento. Consiento el uso de estos medicamentos y reconozco que todas mis preguntas e inquietudes se han abordado satisfactoriamente. Entiendo que mi proveedor y todo el equipo de atención están disponibles para mí en caso de que desarrolle alguna preocupación después de recibir mi tratamiento. Seguiré todas las instrucciones según lo indicado por el médico y/o el equipo de atención. Notificaré a mi proveedor en caso de que desarrolle cambios en mi historial médico.</w:t>
      </w:r>
    </w:p>
    <w:p w:rsidR="00000000" w:rsidDel="00000000" w:rsidP="00000000" w:rsidRDefault="00000000" w:rsidRPr="00000000" w14:paraId="0000003C">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tabs>
          <w:tab w:val="left" w:leader="none" w:pos="-720"/>
          <w:tab w:val="left" w:leader="none" w:pos="0"/>
        </w:tabs>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Certifico que soy un adulto competente de al menos 18 años de edad.</w:t>
      </w:r>
    </w:p>
    <w:p w:rsidR="00000000" w:rsidDel="00000000" w:rsidP="00000000" w:rsidRDefault="00000000" w:rsidRPr="00000000" w14:paraId="0000003E">
      <w:pPr>
        <w:tabs>
          <w:tab w:val="left" w:leader="none" w:pos="-720"/>
          <w:tab w:val="left" w:leader="none" w:pos="0"/>
        </w:tabs>
        <w:spacing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**Si firma alguien que no sea el paciente, imprima su nombre completo, explique su autoridad para actuar en nombre de este paciente y proporcione documentos que demuestren esta autoridad (por ejemplo, poder notarial o formulario de tutela):</w:t>
      </w:r>
      <w:r w:rsidDel="00000000" w:rsidR="00000000" w:rsidRPr="00000000">
        <w:rPr>
          <w:rtl w:val="0"/>
        </w:rPr>
      </w:r>
    </w:p>
    <w:p w:rsidR="00000000" w:rsidDel="00000000" w:rsidP="00000000" w:rsidRDefault="00000000" w:rsidRPr="00000000" w14:paraId="0000003F">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____________________________________________  </w:t>
      </w:r>
    </w:p>
    <w:p w:rsidR="00000000" w:rsidDel="00000000" w:rsidP="00000000" w:rsidRDefault="00000000" w:rsidRPr="00000000" w14:paraId="00000041">
      <w:pPr>
        <w:spacing w:after="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Firma:_________________________________________ Fecha:________________ </w:t>
      </w:r>
    </w:p>
    <w:p w:rsidR="00000000" w:rsidDel="00000000" w:rsidP="00000000" w:rsidRDefault="00000000" w:rsidRPr="00000000" w14:paraId="00000043">
      <w:pPr>
        <w:tabs>
          <w:tab w:val="left" w:leader="none" w:pos="-720"/>
          <w:tab w:val="left" w:leader="none" w:pos="0"/>
        </w:tabs>
        <w:spacing w:line="240" w:lineRule="auto"/>
        <w:rPr>
          <w:rFonts w:ascii="Inter" w:cs="Inter" w:eastAsia="Inter" w:hAnsi="Inter"/>
          <w:sz w:val="13"/>
          <w:szCs w:val="13"/>
        </w:rPr>
      </w:pPr>
      <w:r w:rsidDel="00000000" w:rsidR="00000000" w:rsidRPr="00000000">
        <w:rPr>
          <w:rtl w:val="0"/>
        </w:rPr>
      </w:r>
    </w:p>
    <w:p w:rsidR="00000000" w:rsidDel="00000000" w:rsidP="00000000" w:rsidRDefault="00000000" w:rsidRPr="00000000" w14:paraId="00000044">
      <w:pPr>
        <w:tabs>
          <w:tab w:val="left" w:leader="none" w:pos="-720"/>
          <w:tab w:val="left" w:leader="none" w:pos="0"/>
        </w:tabs>
        <w:spacing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45">
      <w:pPr>
        <w:pageBreakBefore w:val="0"/>
        <w:tabs>
          <w:tab w:val="left" w:leader="none" w:pos="-720"/>
          <w:tab w:val="left" w:leader="none" w:pos="0"/>
        </w:tabs>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HW6N+/JwcWPKj1+MlMzTpxBc+g==">CgMxLjA4AHIhMUJ3anVjb2dRLWlIQ0dfc2k4ODlYb05idENYa01Tdy1q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