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4380"/>
        <w:gridCol w:w="3420"/>
        <w:tblGridChange w:id="0">
          <w:tblGrid>
            <w:gridCol w:w="3000"/>
            <w:gridCol w:w="4380"/>
            <w:gridCol w:w="3420"/>
          </w:tblGrid>
        </w:tblGridChange>
      </w:tblGrid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ind w:left="-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ource Code Pro" w:cs="Source Code Pro" w:eastAsia="Source Code Pro" w:hAnsi="Source Code Pro"/>
                <w:color w:val="424242"/>
                <w:sz w:val="20"/>
                <w:szCs w:val="20"/>
              </w:rPr>
              <w:drawing>
                <wp:inline distB="114300" distT="114300" distL="114300" distR="114300">
                  <wp:extent cx="1752600" cy="457200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CONSENTIMIENTO INFORMADO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680"/>
                <w:tab w:val="right" w:leader="none" w:pos="9360"/>
              </w:tabs>
              <w:spacing w:after="0" w:line="259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TRATAMIENTO PRO-NOX</w:t>
              <w:br w:type="textWrapping"/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mezcla de Óxido Nitroso / Oxígeno al 50/50)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680"/>
                <w:tab w:val="right" w:leader="none" w:pos="9360"/>
              </w:tabs>
              <w:spacing w:after="0"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REVIEWED/REVISED:</w: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 AND REVISED: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11/2023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Portrait Spa and Concierge Locations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936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Registered Nurse, Nurse Practitioner and Physician Assistant Guidelines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Medical Director:</w:t>
            </w:r>
          </w:p>
          <w:p w:rsidR="00000000" w:rsidDel="00000000" w:rsidP="00000000" w:rsidRDefault="00000000" w:rsidRPr="00000000" w14:paraId="0000000E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Dr. Patrick Blake, MD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tabs>
          <w:tab w:val="left" w:leader="none" w:pos="2493"/>
        </w:tabs>
        <w:spacing w:after="160" w:line="259" w:lineRule="auto"/>
        <w:jc w:val="both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1.999999999999999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Gracias por elegir Portrait. En un esfuerzo continuo para darle el mejor servicio posible, revise cuidadosamente este formulario de consentimiento y haga cualquier pregunta necesaria para ayudarle a comprenderlo completamente. Será tratado por un proveedor que trabaja en colaboración con un grupo médico afiliado a Portrait (DermDocs, P.C., Portrait Health Care, PLLC o Portrait Health Care New Jersey, PC). Al firmar este Consentimiento Informado, autoriza al proveedor de atención médica que lo trata hoy* a administrar este tratamiento. Firme solo después de una cuidadosa consideración.</w:t>
      </w:r>
    </w:p>
    <w:p w:rsidR="00000000" w:rsidDel="00000000" w:rsidP="00000000" w:rsidRDefault="00000000" w:rsidRPr="00000000" w14:paraId="00000011">
      <w:pPr>
        <w:spacing w:line="240" w:lineRule="auto"/>
        <w:ind w:left="-1.999999999999999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INTRODUCCIÓN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PRO-NOX y Nitro-Nox son sistemas de gestión del dolor autoadministrados (bajo la supervisión de personal médicamente capacitado) con inicio rápido, con un 50% fijo de óxido nitroso y un 50% de oxígeno, con una corta duración de efecto. Generalmente se metabolizan y "salen de su sistema" (vuelve a la normalidad) minutos después de suspender el tratamiento, por lo que puede recuperar rápidamente la función mental y física completa y conducir a casa.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ALTERNATIVAS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Las formas alternativas de manejo incluyen no someterse a terapia Pro-Nox, anestésicos tópicos, analgésicos orales como paracetamol o ibuprofeno, o ansiolíticos como cbd, gabapentina o benzodiazepinas.</w:t>
      </w:r>
    </w:p>
    <w:p w:rsidR="00000000" w:rsidDel="00000000" w:rsidP="00000000" w:rsidRDefault="00000000" w:rsidRPr="00000000" w14:paraId="00000017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RIESGOS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2493"/>
        </w:tabs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Aunque la mayoría de los pacientes no experimentan efectos secundarios, debe discutir con su proveedor para asegurarse de entender los posibles efectos secundarios. Los riesgos incluyen: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Dolor de cabeza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Euforia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Mareo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Náusea</w:t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Disminución de la conciencia y el control mental y físico</w:t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Mal funcionamiento del dispositivo y posible sobredosis, falta de efecto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  <w:sectPr>
          <w:type w:val="continuous"/>
          <w:pgSz w:h="15840" w:w="12240" w:orient="portrait"/>
          <w:pgMar w:bottom="1197" w:top="1440" w:left="1440" w:right="1440" w:header="720" w:footer="720"/>
          <w:cols w:equalWidth="0" w:num="2">
            <w:col w:space="720" w:w="4320"/>
            <w:col w:space="0" w:w="4320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 lista no pretende ser inclusiva de todos los posibles riesgos asociados con el tratamiento Pro-Nox, ya que existen efectos secundarios conocidos y desconocidos asociados con cualquier medicamento o procedimiento.</w:t>
        <w:br w:type="textWrapping"/>
        <w:br w:type="textWrapping"/>
        <w:t xml:space="preserve">Entiendo que debo esperar 10 minutos después del último uso de óxido nitroso antes de conducir un automóvil o operar cualquier tipo de maquinaria.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Entiendo que el uso de óxido nitroso puede hacer que me sienta inestable y que, si necesito levantarme de la mesa de procedimientos, lo haré solo con ayuda.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Estos problemas son raros y se resuelven en gran medida con el tiempo.</w:t>
      </w:r>
    </w:p>
    <w:p w:rsidR="00000000" w:rsidDel="00000000" w:rsidP="00000000" w:rsidRDefault="00000000" w:rsidRPr="00000000" w14:paraId="00000027">
      <w:pPr>
        <w:pageBreakBefore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CONTRAINDICACIONES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Estoy de acuerdo con las siguientes nueve (9) afirmaciones: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estoy embarazada ni amamantando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tengo deficiencia de vitamina B12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tengo antecedentes de hipersensibilidad a las mezclas de óxido nitroso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tengo antecedentes de neumotórax artificial, traumático o espontáneo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tengo obstrucción del oído medio ni infección en el oído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he tenido cirugía ocular con inyección de gas intraocular en las últimas 6 semanas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tengo enfermedad de descompresión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tengo distensión abdominal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Puedo sostener el dispositivo de administración (boquilla o máscara)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RESULTADOS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Entiendo que no se puede prever ni garantizar el grado real de mejora. Además, comprendo que el efecto disminuirá gradualmente y pueden ser necesarios tratamientos adicionales para mantener el efecto deseado.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Entiendo lo anterior y se me han explicado los riesgos, beneficios y alternativas, y he tenido la oportunidad de hacer preguntas. No se han hecho garantías sobre los resultados.</w:t>
      </w:r>
    </w:p>
    <w:p w:rsidR="00000000" w:rsidDel="00000000" w:rsidP="00000000" w:rsidRDefault="00000000" w:rsidRPr="00000000" w14:paraId="00000038">
      <w:pPr>
        <w:pageBreakBefore w:val="0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RESPONSABILIDAD FINANCIERAS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costo de Pronox puede llevar a otros cargos. Los costos adicionales del tratamiento médico serán su responsabilidad en caso de que se presenten complicaciones derivadas del uso de Pronox.</w:t>
      </w:r>
    </w:p>
    <w:p w:rsidR="00000000" w:rsidDel="00000000" w:rsidP="00000000" w:rsidRDefault="00000000" w:rsidRPr="00000000" w14:paraId="0000003B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RIESGO A LARGO PLAZO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Pronox se ha utilizado durante años y tiene un perfil de seguridad sobresaliente. Dicho esto, entiendo que los riesgos pueden no ser completamente conocidos.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RESULTADO INSATISFACTORIO</w:t>
      </w:r>
    </w:p>
    <w:p w:rsidR="00000000" w:rsidDel="00000000" w:rsidP="00000000" w:rsidRDefault="00000000" w:rsidRPr="00000000" w14:paraId="00000040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Existe la posibilidad de una respuesta pobre o inadecuada. Los resultados completos pueden tardar muchas semanas en aparecer.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CONSENTIMIENTO:</w:t>
      </w:r>
    </w:p>
    <w:p w:rsidR="00000000" w:rsidDel="00000000" w:rsidP="00000000" w:rsidRDefault="00000000" w:rsidRPr="00000000" w14:paraId="00000042">
      <w:pPr>
        <w:tabs>
          <w:tab w:val="left" w:leader="none" w:pos="-720"/>
          <w:tab w:val="left" w:leader="none" w:pos="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Puedo entender este documento en español. Comprendo que no someterme a este procedimiento es una opción. Todas mis preguntas y preocupaciones han sido abordadas satisfactoriamente. Entiendo que mi proveedor y todo el equipo de atención están disponibles para mí en caso de que surjan preocupaciones después de recibir mi tratamiento. Seguiré todas las instrucciones posteriores al cuidado. También informaré a mi proveedor si se producen cambios en mi historial médico.</w:t>
        <w:br w:type="textWrapping"/>
        <w:br w:type="textWrapping"/>
        <w:t xml:space="preserve">Si firma alguien que no es el paciente, imprima su nombre completo, explique su autoridad para actuar en nombre de este paciente y proporcione documentos que demuestren esta autoridad (por ejemplo, un poder notarial o formulario de tutela):</w:t>
      </w:r>
    </w:p>
    <w:p w:rsidR="00000000" w:rsidDel="00000000" w:rsidP="00000000" w:rsidRDefault="00000000" w:rsidRPr="00000000" w14:paraId="00000043">
      <w:pPr>
        <w:tabs>
          <w:tab w:val="left" w:leader="none" w:pos="-720"/>
          <w:tab w:val="left" w:leader="none" w:pos="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Nombre: ____________________________________________  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Firma:_________________________________________ Fecha:________________ </w:t>
      </w:r>
    </w:p>
    <w:p w:rsidR="00000000" w:rsidDel="00000000" w:rsidP="00000000" w:rsidRDefault="00000000" w:rsidRPr="00000000" w14:paraId="00000049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-720"/>
          <w:tab w:val="left" w:leader="none" w:pos="0"/>
        </w:tabs>
        <w:spacing w:line="240" w:lineRule="auto"/>
        <w:rPr>
          <w:rFonts w:ascii="Inter" w:cs="Inter" w:eastAsia="Inter" w:hAnsi="Inter"/>
          <w:sz w:val="13"/>
          <w:szCs w:val="13"/>
        </w:rPr>
      </w:pPr>
      <w:r w:rsidDel="00000000" w:rsidR="00000000" w:rsidRPr="00000000">
        <w:rPr>
          <w:rFonts w:ascii="Inter" w:cs="Inter" w:eastAsia="Inter" w:hAnsi="Inter"/>
          <w:sz w:val="13"/>
          <w:szCs w:val="13"/>
          <w:rtl w:val="0"/>
        </w:rPr>
        <w:t xml:space="preserve">*Portrait Health Inc. y sus prácticas médicas gestionadas, incluyendo DermDocs, PC, Portrait Health Care, PLLC y Portrait Health Care New Jersey, PC, trabajan en estrecha colaboración con enfermeras y asistentes médicos para proporcionar servicios a pacientes compartidos. Esto incluye proporcionar entidades dirigidas por enfermeras y asistentes médicos con una amplia gama de servicios de apoyo administrativo y clínico de acuerdo con las normas de la industria y las leyes y regulaciones aplicables.</w:t>
      </w:r>
    </w:p>
    <w:p w:rsidR="00000000" w:rsidDel="00000000" w:rsidP="00000000" w:rsidRDefault="00000000" w:rsidRPr="00000000" w14:paraId="0000004C">
      <w:pPr>
        <w:pageBreakBefore w:val="0"/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Inter">
    <w:embedRegular w:fontKey="{00000000-0000-0000-0000-000000000000}" r:id="rId1" w:subsetted="0"/>
    <w:embedBold w:fontKey="{00000000-0000-0000-0000-000000000000}" r:id="rId2" w:subsetted="0"/>
  </w:font>
  <w:font w:name="Source Code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SourceCodePro-regular.ttf"/><Relationship Id="rId4" Type="http://schemas.openxmlformats.org/officeDocument/2006/relationships/font" Target="fonts/SourceCodePro-bold.ttf"/><Relationship Id="rId5" Type="http://schemas.openxmlformats.org/officeDocument/2006/relationships/font" Target="fonts/SourceCodePro-italic.ttf"/><Relationship Id="rId6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Tqm8MX86JzhnA1IsorWyTyqvg==">CgMxLjA4AHIhMTRTVk1Nc3d6X3JhamhXQjlIWkgyQWRfY1lCM1BRS25C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