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20"/>
          <w:tab w:val="left" w:leader="none" w:pos="0"/>
        </w:tabs>
        <w:spacing w:line="240" w:lineRule="auto"/>
        <w:ind w:left="-180" w:firstLine="0"/>
        <w:jc w:val="both"/>
        <w:rPr>
          <w:rFonts w:ascii="Calibri" w:cs="Calibri" w:eastAsia="Calibri" w:hAnsi="Calibri"/>
          <w:b w:val="1"/>
          <w:highlight w:val="green"/>
          <w:u w:val="single"/>
        </w:rPr>
      </w:pPr>
      <w:r w:rsidDel="00000000" w:rsidR="00000000" w:rsidRPr="00000000">
        <w:rPr>
          <w:rFonts w:ascii="Calibri" w:cs="Calibri" w:eastAsia="Calibri" w:hAnsi="Calibri"/>
          <w:sz w:val="24"/>
          <w:szCs w:val="24"/>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r w:rsidDel="00000000" w:rsidR="00000000" w:rsidRPr="00000000">
        <w:rPr>
          <w:rtl w:val="0"/>
        </w:rPr>
      </w:r>
    </w:p>
    <w:p w:rsidR="00000000" w:rsidDel="00000000" w:rsidP="00000000" w:rsidRDefault="00000000" w:rsidRPr="00000000" w14:paraId="00000002">
      <w:pPr>
        <w:pageBreakBefore w:val="0"/>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INTRODUCCIÓN</w:t>
      </w:r>
      <w:r w:rsidDel="00000000" w:rsidR="00000000" w:rsidRPr="00000000">
        <w:rPr>
          <w:rtl w:val="0"/>
        </w:rPr>
      </w:r>
    </w:p>
    <w:p w:rsidR="00000000" w:rsidDel="00000000" w:rsidP="00000000" w:rsidRDefault="00000000" w:rsidRPr="00000000" w14:paraId="00000004">
      <w:pPr>
        <w:pageBreakBefore w:val="0"/>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Plasma Rico en Plaquetas Fibrina, también conocido como "PRF" es un tratamiento de inyección en el que se utiliza la propia sangre de una persona. Se extrae una fracción de sangre (20-100 cc) del paciente y se coloca en una jeringa. Esta es una cantidad relativamente pequeña en comparación con la donación de sangre que puede eliminar 500 cc. La sangre se centrifuga para separar sus componentes. El Plasma Rico en Plaquetas Fibrina también se llama Plasma Rico en Plaquetas de segunda generación (PRP); tiene la ventaja adicional de no requerir productos químicos adicionales y carece de cualquier sensación de ardor que puede ocurrir con el Plasma Rico en Plaquetas.</w:t>
      </w:r>
    </w:p>
    <w:p w:rsidR="00000000" w:rsidDel="00000000" w:rsidP="00000000" w:rsidRDefault="00000000" w:rsidRPr="00000000" w14:paraId="00000005">
      <w:pPr>
        <w:pageBreakBefore w:val="0"/>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pageBreakBefore w:val="0"/>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plaquetas son células muy pequeñas en la sangre que participan en el proceso de coagulación y curación. Cuando se inyecta PRF en la zona dañada, causa una inflamación leve que desencadena un proceso de curación o rejuvenecimiento que implica la liberación de factores de crecimiento y la producción de colágeno.</w:t>
      </w:r>
    </w:p>
    <w:p w:rsidR="00000000" w:rsidDel="00000000" w:rsidP="00000000" w:rsidRDefault="00000000" w:rsidRPr="00000000" w14:paraId="00000007">
      <w:pPr>
        <w:pageBreakBefore w:val="0"/>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pageBreakBefore w:val="0"/>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técnica de Gel de Fibrina Rico en Plaquetas (conocida como ezGEL) genera una matriz de fibrina compleja que contiene plaquetas, leucocitos y células madre mesenquimales. Durante 10-12 días, esto resulta en la liberación constante de factores de crecimiento e interleucinas que aceleran la curación de tejidos y procesos de regeneración. El Gel PRF se crea mezclando fibrina rica en plaquetas (PRF) que se calienta con plasma rico en albúmina (ARP) para crear el producto final.</w:t>
      </w:r>
    </w:p>
    <w:p w:rsidR="00000000" w:rsidDel="00000000" w:rsidP="00000000" w:rsidRDefault="00000000" w:rsidRPr="00000000" w14:paraId="00000009">
      <w:pPr>
        <w:pageBreakBefore w:val="0"/>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pageBreakBefore w:val="0"/>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procedimiento completo dura aproximadamente 45 minutos a una hora. Por lo general, se recomiendan 3 tratamientos pero, sin embargo, pueden ser necesarios más para algunas personas. El PRP se puede combinar con otros procedimientos como la dermoabrasión.</w:t>
      </w:r>
    </w:p>
    <w:p w:rsidR="00000000" w:rsidDel="00000000" w:rsidP="00000000" w:rsidRDefault="00000000" w:rsidRPr="00000000" w14:paraId="0000000B">
      <w:pPr>
        <w:pageBreakBefore w:val="0"/>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pageBreakBefore w:val="0"/>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PRP está diseñado para mejorar la textura, el tono y el volumen de la piel. En algunas personas, puede promover el crecimiento del cabello y mejorar las cicatrices del acné. También ha demostrado eficacia en la ayuda a la curación de heridas después de procedimientos quirúrgicos.</w:t>
      </w:r>
    </w:p>
    <w:p w:rsidR="00000000" w:rsidDel="00000000" w:rsidP="00000000" w:rsidRDefault="00000000" w:rsidRPr="00000000" w14:paraId="0000000D">
      <w:pPr>
        <w:pageBreakBefore w:val="0"/>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pageBreakBefore w:val="0"/>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tabs>
          <w:tab w:val="left" w:leader="none" w:pos="-720"/>
          <w:tab w:val="left" w:leader="none" w:pos="0"/>
        </w:tabs>
        <w:spacing w:line="240" w:lineRule="auto"/>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TRATAMIENTOS ALTERNATIVOS</w:t>
      </w:r>
    </w:p>
    <w:p w:rsidR="00000000" w:rsidDel="00000000" w:rsidP="00000000" w:rsidRDefault="00000000" w:rsidRPr="00000000" w14:paraId="00000010">
      <w:pPr>
        <w:pageBreakBefore w:val="0"/>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Otras opciones existen para mejorar la calidad de la piel y el cabello. Para la piel, estas incluyen peelings, dermoabrasión, rellenos inyectables, tratamiento con láser, cirugía, cremas y la ausencia de tratamiento. Para el cabello, estas opciones incluyen medicamentos orales y tópicos, así como inyecciones y terapia con láser.</w:t>
      </w:r>
    </w:p>
    <w:p w:rsidR="00000000" w:rsidDel="00000000" w:rsidP="00000000" w:rsidRDefault="00000000" w:rsidRPr="00000000" w14:paraId="00000011">
      <w:pPr>
        <w:pageBreakBefore w:val="0"/>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tabs>
          <w:tab w:val="left" w:leader="none" w:pos="-720"/>
          <w:tab w:val="left" w:leader="none" w:pos="0"/>
        </w:tabs>
        <w:spacing w:line="240" w:lineRule="auto"/>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RIESGOS</w:t>
      </w:r>
    </w:p>
    <w:p w:rsidR="00000000" w:rsidDel="00000000" w:rsidP="00000000" w:rsidRDefault="00000000" w:rsidRPr="00000000" w14:paraId="00000013">
      <w:pPr>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seguridad del PRP se ha establecido durante más de 20 años por sus propiedades de curación de heridas y su efectividad comprobada se ha extendido a través de múltiples especialidades médicas. La mayoría de las personas no presentan efectos secundarios significativos. Se cree que el PRF tiene los mismos riesgos. Sin embargo, es importante que entienda los riesgos involucrados en este tratamiento y los discuta con su proveedor.</w:t>
      </w:r>
    </w:p>
    <w:p w:rsidR="00000000" w:rsidDel="00000000" w:rsidP="00000000" w:rsidRDefault="00000000" w:rsidRPr="00000000" w14:paraId="00000014">
      <w:pPr>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Algunos de los posibles efectos secundarios del Plasma Rico en Plaquetas Fibrina incluyen: 1) Dolor en el lugar de la inyección; 2) Sangrado, hematomas y/o infección como con cualquier tipo de inyección; 3) Enrojecimiento temporal (rubor) de la piel; 4) Reacción alérgica a la solución; 5) Lesión en un nervio y/o músculo como con cualquier tipo de inyección; 6) Picazón en el lugar de la inyección(es); 7) Náuseas/vómitos; 8) Mareo o desmayo; 9) Aumento temporal del azúcar en la sangre; 10) Hinchazón; 11) Efecto mínimo del tratamiento; 12) Hiperpigmentación/manchas de hemosiderina.</w:t>
      </w:r>
    </w:p>
    <w:p w:rsidR="00000000" w:rsidDel="00000000" w:rsidP="00000000" w:rsidRDefault="00000000" w:rsidRPr="00000000" w14:paraId="00000016">
      <w:pPr>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Existe un pequeño riesgo potencial de oclusión arterial con este procedimiento, incluida la oclusión de la arteria oftálmica, lo que podría resultar en pérdida visual.</w:t>
      </w:r>
      <w:r w:rsidDel="00000000" w:rsidR="00000000" w:rsidRPr="00000000">
        <w:rPr>
          <w:rFonts w:ascii="Calibri" w:cs="Calibri" w:eastAsia="Calibri" w:hAnsi="Calibri"/>
          <w:sz w:val="24"/>
          <w:szCs w:val="24"/>
          <w:rtl w:val="0"/>
        </w:rPr>
        <w:t xml:space="preserve"> Solo los proveedores con una comprensión extensa de la anatomía subyacente de estas áreas deben realizar estas inyecciones.</w:t>
      </w:r>
      <w:r w:rsidDel="00000000" w:rsidR="00000000" w:rsidRPr="00000000">
        <w:rPr>
          <w:rtl w:val="0"/>
        </w:rPr>
      </w:r>
    </w:p>
    <w:p w:rsidR="00000000" w:rsidDel="00000000" w:rsidP="00000000" w:rsidRDefault="00000000" w:rsidRPr="00000000" w14:paraId="00000018">
      <w:pPr>
        <w:pageBreakBefore w:val="0"/>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tabs>
          <w:tab w:val="left" w:leader="none" w:pos="-720"/>
          <w:tab w:val="left" w:leader="none" w:pos="0"/>
        </w:tabs>
        <w:spacing w:line="240" w:lineRule="auto"/>
        <w:ind w:left="-180" w:firstLine="0"/>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CONTRAINDICACIONES</w:t>
      </w:r>
      <w:r w:rsidDel="00000000" w:rsidR="00000000" w:rsidRPr="00000000">
        <w:rPr>
          <w:rtl w:val="0"/>
        </w:rPr>
      </w:r>
    </w:p>
    <w:p w:rsidR="00000000" w:rsidDel="00000000" w:rsidP="00000000" w:rsidRDefault="00000000" w:rsidRPr="00000000" w14:paraId="0000001A">
      <w:pPr>
        <w:pageBreakBefore w:val="0"/>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Hay muy pocas contraindicaciones, sin embargo, los pacientes con las siguientes condiciones no son candidatos:</w:t>
      </w:r>
    </w:p>
    <w:p w:rsidR="00000000" w:rsidDel="00000000" w:rsidP="00000000" w:rsidRDefault="00000000" w:rsidRPr="00000000" w14:paraId="0000001B">
      <w:pPr>
        <w:pageBreakBefore w:val="0"/>
        <w:ind w:left="-180" w:firstLine="0"/>
        <w:rPr>
          <w:rFonts w:ascii="Calibri" w:cs="Calibri" w:eastAsia="Calibri" w:hAnsi="Calibri"/>
          <w:sz w:val="24"/>
          <w:szCs w:val="24"/>
        </w:rPr>
        <w:sectPr>
          <w:headerReference r:id="rId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C">
      <w:pPr>
        <w:pageBreakBefore w:val="0"/>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Embarazo activo</w:t>
      </w:r>
    </w:p>
    <w:p w:rsidR="00000000" w:rsidDel="00000000" w:rsidP="00000000" w:rsidRDefault="00000000" w:rsidRPr="00000000" w14:paraId="0000001D">
      <w:pPr>
        <w:pageBreakBefore w:val="0"/>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Infección grave activa</w:t>
      </w:r>
    </w:p>
    <w:p w:rsidR="00000000" w:rsidDel="00000000" w:rsidP="00000000" w:rsidRDefault="00000000" w:rsidRPr="00000000" w14:paraId="0000001E">
      <w:pPr>
        <w:pageBreakBefore w:val="0"/>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Cáncer interno activo</w:t>
      </w:r>
    </w:p>
    <w:p w:rsidR="00000000" w:rsidDel="00000000" w:rsidP="00000000" w:rsidRDefault="00000000" w:rsidRPr="00000000" w14:paraId="0000001F">
      <w:pPr>
        <w:pageBreakBefore w:val="0"/>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Función de coagulación deficiente (debido a causas genéticas, plaquetas bajas, anticoagulantes orales o suplementos, o cualquier otra causa)</w:t>
      </w:r>
    </w:p>
    <w:p w:rsidR="00000000" w:rsidDel="00000000" w:rsidP="00000000" w:rsidRDefault="00000000" w:rsidRPr="00000000" w14:paraId="00000020">
      <w:pPr>
        <w:pageBreakBefore w:val="0"/>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Enfermedad renal grave</w:t>
      </w:r>
    </w:p>
    <w:p w:rsidR="00000000" w:rsidDel="00000000" w:rsidP="00000000" w:rsidRDefault="00000000" w:rsidRPr="00000000" w14:paraId="00000021">
      <w:pPr>
        <w:pageBreakBefore w:val="0"/>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Enfermedad hepática grave</w:t>
      </w:r>
    </w:p>
    <w:p w:rsidR="00000000" w:rsidDel="00000000" w:rsidP="00000000" w:rsidRDefault="00000000" w:rsidRPr="00000000" w14:paraId="00000022">
      <w:pPr>
        <w:pageBreakBefore w:val="0"/>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pacientes con cualquiera de las siguientes condiciones pueden tener un mayor riesgo de efectos secundarios:</w:t>
      </w:r>
    </w:p>
    <w:p w:rsidR="00000000" w:rsidDel="00000000" w:rsidP="00000000" w:rsidRDefault="00000000" w:rsidRPr="00000000" w14:paraId="00000023">
      <w:pPr>
        <w:pageBreakBefore w:val="0"/>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Presión arterial baja en reposo o deshidratación</w:t>
      </w:r>
    </w:p>
    <w:p w:rsidR="00000000" w:rsidDel="00000000" w:rsidP="00000000" w:rsidRDefault="00000000" w:rsidRPr="00000000" w14:paraId="00000024">
      <w:pPr>
        <w:pageBreakBefore w:val="0"/>
        <w:ind w:left="-180" w:firstLine="0"/>
        <w:rPr>
          <w:rFonts w:ascii="Calibri" w:cs="Calibri" w:eastAsia="Calibri" w:hAnsi="Calibri"/>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Calibri" w:cs="Calibri" w:eastAsia="Calibri" w:hAnsi="Calibri"/>
          <w:sz w:val="24"/>
          <w:szCs w:val="24"/>
          <w:rtl w:val="0"/>
        </w:rPr>
        <w:t xml:space="preserve">Inmunosupresión</w:t>
      </w:r>
    </w:p>
    <w:p w:rsidR="00000000" w:rsidDel="00000000" w:rsidP="00000000" w:rsidRDefault="00000000" w:rsidRPr="00000000" w14:paraId="00000025">
      <w:pPr>
        <w:pageBreakBefore w:val="0"/>
        <w:ind w:left="-18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pageBreakBefore w:val="0"/>
        <w:ind w:left="-18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deshidratación disminuirá la efectividad de este tratamiento.</w:t>
      </w:r>
    </w:p>
    <w:p w:rsidR="00000000" w:rsidDel="00000000" w:rsidP="00000000" w:rsidRDefault="00000000" w:rsidRPr="00000000" w14:paraId="00000027">
      <w:pPr>
        <w:pageBreakBefore w:val="0"/>
        <w:ind w:left="-1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pageBreakBefore w:val="0"/>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RESULTADOS</w:t>
      </w:r>
    </w:p>
    <w:p w:rsidR="00000000" w:rsidDel="00000000" w:rsidP="00000000" w:rsidRDefault="00000000" w:rsidRPr="00000000" w14:paraId="00000029">
      <w:pPr>
        <w:pageBreakBefore w:val="0"/>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resultados para el rejuvenecimiento de la piel son generalmente visibles a las 4 semanas y continúan mejorando gradualmente durante los meses siguientes (3-6) con una mejora en la textura y el tono. Las arrugas avanzadas no pueden revertirse y solo se puede prever una mejora mínima en personas de edad avanzada o con un estado de salud subyacente deficiente.</w:t>
      </w:r>
    </w:p>
    <w:p w:rsidR="00000000" w:rsidDel="00000000" w:rsidP="00000000" w:rsidRDefault="00000000" w:rsidRPr="00000000" w14:paraId="0000002A">
      <w:pPr>
        <w:pageBreakBefore w:val="0"/>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pageBreakBefore w:val="0"/>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resultados para la pérdida de cabello a menudo están relacionados con la predisposición genética, el estrés y la salud subyacente. El PRP típicamente no proporciona resultados permanentes para la pérdida de cabello y se requieren múltiples tratamientos para mantener el crecimiento.</w:t>
      </w:r>
    </w:p>
    <w:p w:rsidR="00000000" w:rsidDel="00000000" w:rsidP="00000000" w:rsidRDefault="00000000" w:rsidRPr="00000000" w14:paraId="0000002C">
      <w:pPr>
        <w:pageBreakBefore w:val="0"/>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pageBreakBefore w:val="0"/>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resultados para las cicatrices del acné son típicamente evidentes dentro de las 4-6 semanas posteriores a la inyección y se puede realizar una nueva inyección después de ese tiempo.</w:t>
      </w:r>
    </w:p>
    <w:p w:rsidR="00000000" w:rsidDel="00000000" w:rsidP="00000000" w:rsidRDefault="00000000" w:rsidRPr="00000000" w14:paraId="0000002E">
      <w:pPr>
        <w:pageBreakBefore w:val="0"/>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RESPONSABILIDADES FINANCIERAS</w:t>
      </w:r>
      <w:r w:rsidDel="00000000" w:rsidR="00000000" w:rsidRPr="00000000">
        <w:rPr>
          <w:rtl w:val="0"/>
        </w:rPr>
      </w:r>
    </w:p>
    <w:p w:rsidR="00000000" w:rsidDel="00000000" w:rsidP="00000000" w:rsidRDefault="00000000" w:rsidRPr="00000000" w14:paraId="00000030">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Entiendo que el costo de la inyección puede incluir varios cargos que incluirían cualquier retoque necesario. Entiendo que es posible que requiera múltiples tratamientos. No se emitirán reembolsos por resultados insatisfactorios percibidos. Entiendo que los costos del tratamiento médico serían mi responsabilidad si se presentan complicaciones. No se me han hecho garantías.</w:t>
      </w:r>
    </w:p>
    <w:p w:rsidR="00000000" w:rsidDel="00000000" w:rsidP="00000000" w:rsidRDefault="00000000" w:rsidRPr="00000000" w14:paraId="00000031">
      <w:pPr>
        <w:pageBreakBefore w:val="0"/>
        <w:tabs>
          <w:tab w:val="left" w:leader="none" w:pos="9450"/>
        </w:tabs>
        <w:spacing w:line="240" w:lineRule="auto"/>
        <w:ind w:left="-180" w:right="14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tabs>
          <w:tab w:val="left" w:leader="none" w:pos="-720"/>
          <w:tab w:val="left" w:leader="none" w:pos="0"/>
        </w:tabs>
        <w:spacing w:line="240" w:lineRule="auto"/>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RIESGO A LARGO PLAZO</w:t>
      </w:r>
    </w:p>
    <w:p w:rsidR="00000000" w:rsidDel="00000000" w:rsidP="00000000" w:rsidRDefault="00000000" w:rsidRPr="00000000" w14:paraId="00000033">
      <w:pPr>
        <w:tabs>
          <w:tab w:val="left" w:leader="none" w:pos="-720"/>
          <w:tab w:val="left" w:leader="none" w:pos="0"/>
        </w:tabs>
        <w:spacing w:line="240" w:lineRule="auto"/>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t xml:space="preserve">La escleroterapia se ha utilizado durante más de 50 años y tiene un perfil de seguridad sobresaliente. Dicho esto, entiendo que los riesgos pueden no ser completamente conocidos.</w:t>
      </w:r>
      <w:r w:rsidDel="00000000" w:rsidR="00000000" w:rsidRPr="00000000">
        <w:rPr>
          <w:rtl w:val="0"/>
        </w:rPr>
      </w:r>
    </w:p>
    <w:p w:rsidR="00000000" w:rsidDel="00000000" w:rsidP="00000000" w:rsidRDefault="00000000" w:rsidRPr="00000000" w14:paraId="00000034">
      <w:pPr>
        <w:pageBreakBefore w:val="0"/>
        <w:spacing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tabs>
          <w:tab w:val="left" w:leader="none" w:pos="-720"/>
          <w:tab w:val="left" w:leader="none" w:pos="0"/>
        </w:tabs>
        <w:spacing w:line="240" w:lineRule="auto"/>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RESULTADO INSATISFACTORIO</w:t>
      </w:r>
    </w:p>
    <w:p w:rsidR="00000000" w:rsidDel="00000000" w:rsidP="00000000" w:rsidRDefault="00000000" w:rsidRPr="00000000" w14:paraId="00000036">
      <w:pPr>
        <w:tabs>
          <w:tab w:val="left" w:leader="none" w:pos="-720"/>
          <w:tab w:val="left" w:leader="none" w:pos="0"/>
        </w:tabs>
        <w:spacing w:line="240" w:lineRule="auto"/>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t xml:space="preserve">Existe la posibilidad de una respuesta pobre o insuficiente a la inyección de PRF. Los resultados completos no se ven hasta muchas semanas después de que se hayan realizado las inyecciones. A veces, se necesitan inyecciones adicionales.</w:t>
      </w:r>
      <w:r w:rsidDel="00000000" w:rsidR="00000000" w:rsidRPr="00000000">
        <w:rPr>
          <w:rtl w:val="0"/>
        </w:rPr>
      </w:r>
    </w:p>
    <w:p w:rsidR="00000000" w:rsidDel="00000000" w:rsidP="00000000" w:rsidRDefault="00000000" w:rsidRPr="00000000" w14:paraId="00000037">
      <w:pPr>
        <w:pageBreakBefore w:val="0"/>
        <w:tabs>
          <w:tab w:val="left" w:leader="none" w:pos="-720"/>
          <w:tab w:val="left" w:leader="none" w:pos="0"/>
          <w:tab w:val="left" w:leader="none" w:pos="9450"/>
        </w:tabs>
        <w:spacing w:line="240" w:lineRule="auto"/>
        <w:ind w:left="-180" w:right="14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tabs>
          <w:tab w:val="left" w:leader="none" w:pos="-720"/>
          <w:tab w:val="left" w:leader="none" w:pos="0"/>
        </w:tabs>
        <w:spacing w:line="240" w:lineRule="auto"/>
        <w:ind w:left="-180"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CONSENTIMIENTO:</w:t>
      </w:r>
    </w:p>
    <w:p w:rsidR="00000000" w:rsidDel="00000000" w:rsidP="00000000" w:rsidRDefault="00000000" w:rsidRPr="00000000" w14:paraId="00000039">
      <w:pPr>
        <w:tabs>
          <w:tab w:val="left" w:leader="none" w:pos="-720"/>
          <w:tab w:val="left" w:leader="none" w:pos="0"/>
        </w:tabs>
        <w:spacing w:line="240" w:lineRule="auto"/>
        <w:ind w:left="-1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Puedo entender este documento en español. Comprendo que no someterme a este procedimiento es una opción. Todas mis preguntas y preocupaciones han sido abordadas satisfactoriamente. Entiendo que mi proveedor y todo el equipo de atención están disponibles para mí en caso de que surjan preocupaciones después de recibir mi tratamiento. Seguiré todas las instrucciones posteriores al cuidado. También informaré a mi proveedor si se producen cambios en mi historial médico.</w:t>
      </w:r>
      <w:r w:rsidDel="00000000" w:rsidR="00000000" w:rsidRPr="00000000">
        <w:rPr>
          <w:rtl w:val="0"/>
        </w:rPr>
      </w:r>
    </w:p>
    <w:p w:rsidR="00000000" w:rsidDel="00000000" w:rsidP="00000000" w:rsidRDefault="00000000" w:rsidRPr="00000000" w14:paraId="0000003A">
      <w:pPr>
        <w:tabs>
          <w:tab w:val="left" w:leader="none" w:pos="-720"/>
          <w:tab w:val="left" w:leader="none" w:pos="0"/>
        </w:tabs>
        <w:spacing w:line="240" w:lineRule="auto"/>
        <w:ind w:left="-1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pageBreakBefore w:val="0"/>
        <w:ind w:left="-180" w:firstLine="0"/>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Nombre: ____________________________________________  </w:t>
      </w:r>
    </w:p>
    <w:p w:rsidR="00000000" w:rsidDel="00000000" w:rsidP="00000000" w:rsidRDefault="00000000" w:rsidRPr="00000000" w14:paraId="0000003D">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Firma:_________________________________________ Fecha:________________ </w:t>
      </w:r>
    </w:p>
    <w:p w:rsidR="00000000" w:rsidDel="00000000" w:rsidP="00000000" w:rsidRDefault="00000000" w:rsidRPr="00000000" w14:paraId="0000003F">
      <w:pPr>
        <w:tabs>
          <w:tab w:val="left" w:leader="none" w:pos="-720"/>
          <w:tab w:val="left" w:leader="none" w:pos="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0">
      <w:pPr>
        <w:tabs>
          <w:tab w:val="left" w:leader="none" w:pos="-720"/>
          <w:tab w:val="left" w:leader="none" w:pos="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1">
      <w:pPr>
        <w:tabs>
          <w:tab w:val="left" w:leader="none" w:pos="-720"/>
          <w:tab w:val="left" w:leader="none" w:pos="0"/>
        </w:tabs>
        <w:spacing w:line="240" w:lineRule="auto"/>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42">
      <w:pPr>
        <w:tabs>
          <w:tab w:val="left" w:leader="none" w:pos="-720"/>
          <w:tab w:val="left" w:leader="none" w:pos="0"/>
        </w:tabs>
        <w:spacing w:line="240" w:lineRule="auto"/>
        <w:rPr>
          <w:rFonts w:ascii="Calibri" w:cs="Calibri" w:eastAsia="Calibri" w:hAnsi="Calibri"/>
          <w:sz w:val="24"/>
          <w:szCs w:val="24"/>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Inter">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widowControl w:val="0"/>
      <w:rPr>
        <w:rFonts w:ascii="Calibri" w:cs="Calibri" w:eastAsia="Calibri" w:hAnsi="Calibri"/>
        <w:b w:val="1"/>
        <w:sz w:val="24"/>
        <w:szCs w:val="24"/>
      </w:rPr>
    </w:pPr>
    <w:r w:rsidDel="00000000" w:rsidR="00000000" w:rsidRPr="00000000">
      <w:rPr>
        <w:rtl w:val="0"/>
      </w:rPr>
    </w:r>
  </w:p>
  <w:tbl>
    <w:tblPr>
      <w:tblStyle w:val="Table1"/>
      <w:tblW w:w="108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00"/>
      <w:gridCol w:w="4100"/>
      <w:gridCol w:w="3420"/>
      <w:tblGridChange w:id="0">
        <w:tblGrid>
          <w:gridCol w:w="3300"/>
          <w:gridCol w:w="4100"/>
          <w:gridCol w:w="3420"/>
        </w:tblGrid>
      </w:tblGridChange>
    </w:tblGrid>
    <w:tr>
      <w:trPr>
        <w:cantSplit w:val="0"/>
        <w:trHeight w:val="1637" w:hRule="atLeast"/>
        <w:tblHeader w:val="0"/>
      </w:trPr>
      <w:tc>
        <w:tcPr/>
        <w:p w:rsidR="00000000" w:rsidDel="00000000" w:rsidP="00000000" w:rsidRDefault="00000000" w:rsidRPr="00000000" w14:paraId="00000044">
          <w:pPr>
            <w:spacing w:line="240" w:lineRule="auto"/>
            <w:ind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5">
          <w:pPr>
            <w:spacing w:line="360" w:lineRule="auto"/>
            <w:ind w:left="-15" w:firstLine="0"/>
            <w:rPr>
              <w:rFonts w:ascii="Calibri" w:cs="Calibri" w:eastAsia="Calibri" w:hAnsi="Calibri"/>
              <w:sz w:val="20"/>
              <w:szCs w:val="20"/>
            </w:rPr>
          </w:pPr>
          <w:r w:rsidDel="00000000" w:rsidR="00000000" w:rsidRPr="00000000">
            <w:rPr>
              <w:rFonts w:ascii="Calibri" w:cs="Calibri" w:eastAsia="Calibri" w:hAnsi="Calibri"/>
              <w:color w:val="424242"/>
              <w:sz w:val="20"/>
              <w:szCs w:val="20"/>
            </w:rPr>
            <w:drawing>
              <wp:inline distB="114300" distT="114300" distL="114300" distR="114300">
                <wp:extent cx="2000250" cy="5207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0250" cy="5207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line="240" w:lineRule="auto"/>
            <w:ind w:hanging="2"/>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7">
          <w:pPr>
            <w:tabs>
              <w:tab w:val="center" w:leader="none" w:pos="4680"/>
              <w:tab w:val="right" w:leader="none" w:pos="9360"/>
            </w:tabs>
            <w:spacing w:line="240" w:lineRule="auto"/>
            <w:ind w:left="1" w:hanging="3"/>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8">
          <w:pPr>
            <w:tabs>
              <w:tab w:val="center" w:leader="none" w:pos="4680"/>
              <w:tab w:val="right" w:leader="none" w:pos="9360"/>
            </w:tabs>
            <w:spacing w:line="259"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CONSENTIMIENTO INFORMADO </w:t>
          </w:r>
        </w:p>
        <w:p w:rsidR="00000000" w:rsidDel="00000000" w:rsidP="00000000" w:rsidRDefault="00000000" w:rsidRPr="00000000" w14:paraId="00000049">
          <w:pPr>
            <w:tabs>
              <w:tab w:val="center" w:leader="none" w:pos="4680"/>
              <w:tab w:val="right" w:leader="none" w:pos="9360"/>
            </w:tabs>
            <w:spacing w:line="240" w:lineRule="auto"/>
            <w:ind w:left="1" w:hanging="3"/>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A">
          <w:pPr>
            <w:tabs>
              <w:tab w:val="center" w:leader="none" w:pos="4680"/>
              <w:tab w:val="right" w:leader="none" w:pos="9360"/>
            </w:tabs>
            <w:spacing w:line="240" w:lineRule="auto"/>
            <w:ind w:left="1" w:hanging="3"/>
            <w:jc w:val="center"/>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PLASMA RICO EN PLAQUETAS FIBRINA (PRF) </w:t>
          </w:r>
          <w:r w:rsidDel="00000000" w:rsidR="00000000" w:rsidRPr="00000000">
            <w:rPr>
              <w:rtl w:val="0"/>
            </w:rPr>
          </w:r>
        </w:p>
      </w:tc>
      <w:tc>
        <w:tcPr/>
        <w:p w:rsidR="00000000" w:rsidDel="00000000" w:rsidP="00000000" w:rsidRDefault="00000000" w:rsidRPr="00000000" w14:paraId="0000004B">
          <w:pPr>
            <w:tabs>
              <w:tab w:val="center" w:leader="none" w:pos="4680"/>
              <w:tab w:val="right" w:leader="none" w:pos="9360"/>
              <w:tab w:val="center" w:leader="none" w:pos="5040"/>
              <w:tab w:val="right" w:leader="none" w:pos="10080"/>
            </w:tabs>
            <w:spacing w:line="240" w:lineRule="auto"/>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REVIEWED/REVISED:</w:t>
          </w:r>
        </w:p>
        <w:p w:rsidR="00000000" w:rsidDel="00000000" w:rsidP="00000000" w:rsidRDefault="00000000" w:rsidRPr="00000000" w14:paraId="0000004C">
          <w:pPr>
            <w:tabs>
              <w:tab w:val="center" w:leader="none" w:pos="4680"/>
              <w:tab w:val="right" w:leader="none" w:pos="9360"/>
              <w:tab w:val="center" w:leader="none" w:pos="5040"/>
              <w:tab w:val="right" w:leader="none" w:pos="10080"/>
            </w:tabs>
            <w:spacing w:line="240" w:lineRule="auto"/>
            <w:ind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D">
          <w:pPr>
            <w:tabs>
              <w:tab w:val="center" w:leader="none" w:pos="4680"/>
              <w:tab w:val="right" w:leader="none" w:pos="9360"/>
              <w:tab w:val="center" w:leader="none" w:pos="5040"/>
              <w:tab w:val="right" w:leader="none" w:pos="10080"/>
            </w:tabs>
            <w:spacing w:line="240" w:lineRule="auto"/>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CREATED: 01/2020</w:t>
          </w:r>
        </w:p>
        <w:p w:rsidR="00000000" w:rsidDel="00000000" w:rsidP="00000000" w:rsidRDefault="00000000" w:rsidRPr="00000000" w14:paraId="0000004E">
          <w:pPr>
            <w:tabs>
              <w:tab w:val="center" w:leader="none" w:pos="4680"/>
              <w:tab w:val="right" w:leader="none" w:pos="9360"/>
              <w:tab w:val="center" w:leader="none" w:pos="5040"/>
              <w:tab w:val="right" w:leader="none" w:pos="10080"/>
            </w:tabs>
            <w:spacing w:line="240" w:lineRule="auto"/>
            <w:ind w:hanging="2"/>
            <w:rPr>
              <w:rFonts w:ascii="Calibri" w:cs="Calibri" w:eastAsia="Calibri" w:hAnsi="Calibri"/>
              <w:sz w:val="24"/>
              <w:szCs w:val="24"/>
            </w:rPr>
          </w:pPr>
          <w:r w:rsidDel="00000000" w:rsidR="00000000" w:rsidRPr="00000000">
            <w:rPr>
              <w:rFonts w:ascii="Calibri" w:cs="Calibri" w:eastAsia="Calibri" w:hAnsi="Calibri"/>
              <w:b w:val="1"/>
              <w:sz w:val="20"/>
              <w:szCs w:val="20"/>
              <w:rtl w:val="0"/>
            </w:rPr>
            <w:t xml:space="preserve">REVIEWED AND REVISED: 11/2022</w:t>
          </w: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4F">
          <w:pPr>
            <w:spacing w:line="240" w:lineRule="auto"/>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50">
          <w:pPr>
            <w:tabs>
              <w:tab w:val="left" w:leader="none" w:pos="2936"/>
            </w:tabs>
            <w:spacing w:line="240" w:lineRule="auto"/>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51">
          <w:pPr>
            <w:tabs>
              <w:tab w:val="center" w:leader="none" w:pos="4680"/>
              <w:tab w:val="right" w:leader="none" w:pos="9360"/>
              <w:tab w:val="center" w:leader="none" w:pos="5040"/>
              <w:tab w:val="right" w:leader="none" w:pos="10080"/>
            </w:tabs>
            <w:spacing w:line="240" w:lineRule="auto"/>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Director:</w:t>
          </w:r>
        </w:p>
        <w:p w:rsidR="00000000" w:rsidDel="00000000" w:rsidP="00000000" w:rsidRDefault="00000000" w:rsidRPr="00000000" w14:paraId="00000052">
          <w:pPr>
            <w:tabs>
              <w:tab w:val="center" w:leader="none" w:pos="4680"/>
              <w:tab w:val="right" w:leader="none" w:pos="9360"/>
              <w:tab w:val="center" w:leader="none" w:pos="5040"/>
              <w:tab w:val="right" w:leader="none" w:pos="10080"/>
            </w:tabs>
            <w:spacing w:line="240" w:lineRule="auto"/>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Dr. Patrick Blake, MD</w:t>
          </w:r>
        </w:p>
      </w:tc>
    </w:tr>
  </w:tbl>
  <w:p w:rsidR="00000000" w:rsidDel="00000000" w:rsidP="00000000" w:rsidRDefault="00000000" w:rsidRPr="00000000" w14:paraId="00000053">
    <w:pPr>
      <w:tabs>
        <w:tab w:val="center" w:leader="none" w:pos="4680"/>
        <w:tab w:val="right" w:leader="none" w:pos="9360"/>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BoQ4gk1gIHgSPwcBygyoMXo9oA==">CgMxLjA4AHIhMVdvazg2RnFna21kRENvNUlGY3ZNcHFITTAxZnMtRF9u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