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9999999999999998" w:firstLine="0"/>
        <w:jc w:val="both"/>
        <w:rPr>
          <w:rFonts w:ascii="Calibri" w:cs="Calibri" w:eastAsia="Calibri" w:hAnsi="Calibri"/>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02">
      <w:pPr>
        <w:spacing w:line="240" w:lineRule="auto"/>
        <w:ind w:lef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spacing w:after="160" w:line="259" w:lineRule="auto"/>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4">
      <w:pPr>
        <w:spacing w:after="160" w:line="259"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Silhouette InstaLift® es un procedimiento mínimamente invasivo que se realizará utilizando equipos autorizados por la FDA 510k y técnicas de seguridad e higiene de mejores prácticas para levantar inmediatamente la piel facial y renovar gradualmente el colágeno natural del cuerpo. El procedimiento Silhouette InstaLift® Thread Lift and Smoothing utiliza suturas quirúrgicas absorbibles con conos compuestos de poli/glicolida/L-lactida que se colocan en la capa subdérmica de la piel para levantar temporalmente la piel. Los hilos Silhouette InstaLift son una buena opción para un "estiramiento facial" durante las primeras etapas del envejecimiento, actuando como terapia preventiva para el pómulo y ayudando a detener la flacidez de la cara media e inferior. Los hilos Silhouette InstaLift® funcionan de dos maneras:</w:t>
      </w:r>
    </w:p>
    <w:p w:rsidR="00000000" w:rsidDel="00000000" w:rsidP="00000000" w:rsidRDefault="00000000" w:rsidRPr="00000000" w14:paraId="00000005">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Fijación y suspensión temporal: los conos utilizan una orientación opuesta, anclada en las almohadillas de grasa facial, para lograr un levantamiento y compresión del tejido al suspender temporalmente la piel en una posición elevada. Esto puede crear una acción mecánica de elevación instantánea que muestra resultados inmediatos.</w:t>
      </w:r>
    </w:p>
    <w:p w:rsidR="00000000" w:rsidDel="00000000" w:rsidP="00000000" w:rsidRDefault="00000000" w:rsidRPr="00000000" w14:paraId="00000006">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Al desencadenar las propias respuestas fisiológicas del cuerpo para producir colágeno: una vez que los hilos se insertan debajo de la piel, inducen una respuesta inflamatoria local a medida que los mecanismos de defensa naturales del cuerpo se activan en respuesta a un objeto extraño. A medida que los hilos se encapsulan naturalmente y se resorbe en los fluidos biológicos a través de la disolución, estimulan la producción de moléculas de procolágeno e inducen una fibrosis reactiva que los rodea, lo que mantiene los resultados de elevación más allá de su resorción.</w:t>
      </w:r>
    </w:p>
    <w:p w:rsidR="00000000" w:rsidDel="00000000" w:rsidP="00000000" w:rsidRDefault="00000000" w:rsidRPr="00000000" w14:paraId="00000007">
      <w:pPr>
        <w:numPr>
          <w:ilvl w:val="0"/>
          <w:numId w:val="2"/>
        </w:numPr>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El procedimiento Silhouette InstaLift® es efectivo en la mayoría de los casos, sin embargo, no hay garantía de que un paciente específico se beneficie del procedimiento. La naturaleza de este procedimiento cosmético puede requerir que un paciente regrese para numerosas visitas para lograr los resultados deseados o determinar si el tratamiento puede no ser completamente efectivo para tratar la condición particular.</w:t>
      </w:r>
      <w:r w:rsidDel="00000000" w:rsidR="00000000" w:rsidRPr="00000000">
        <w:rPr>
          <w:rtl w:val="0"/>
        </w:rPr>
      </w:r>
    </w:p>
    <w:p w:rsidR="00000000" w:rsidDel="00000000" w:rsidP="00000000" w:rsidRDefault="00000000" w:rsidRPr="00000000" w14:paraId="00000008">
      <w:pPr>
        <w:spacing w:after="160"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Cada procedimiento conlleva cierto nivel de riesgo y es importante que comprenda los riesgos implicados. La elección de un individuo para someterse a este procedimiento se basa en la comparación entre el riesgo y el beneficio potencial. Aunque la mayoría de los pacientes no experimentan las siguientes complicaciones, debe discutirlas con su proveedor para asegurarse de que comprende los riesgos, las posibles complicaciones y las consecuencias del tratamiento Silhouette Instalift.</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Los efectos secundarios incluyen: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Molestias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Cicatrices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Reacciones alérgicas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Moretones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Sangrado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Asimetría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Infección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Curación retardada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Corrección parcial de la laxitud</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Lesión del nervio sensorial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sectPr>
          <w:type w:val="continuous"/>
          <w:pgSz w:h="15840" w:w="12240" w:orient="portrait"/>
          <w:pgMar w:bottom="1386" w:top="1260" w:left="1440" w:right="1440" w:header="720" w:footer="720"/>
          <w:cols w:equalWidth="0" w:num="3">
            <w:col w:space="720" w:w="2640"/>
            <w:col w:space="720" w:w="2640"/>
            <w:col w:space="0" w:w="2640"/>
          </w:cols>
        </w:sectPr>
      </w:pPr>
      <w:r w:rsidDel="00000000" w:rsidR="00000000" w:rsidRPr="00000000">
        <w:rPr>
          <w:rFonts w:ascii="Calibri" w:cs="Calibri" w:eastAsia="Calibri" w:hAnsi="Calibri"/>
          <w:b w:val="1"/>
          <w:rtl w:val="0"/>
        </w:rPr>
        <w:t xml:space="preserve">Capacidad de formar bultos (Banding)</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Estoy de acuerdo con las siguientes afirmaciones: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antecedentes de reacciones alérgicas a biomateriales sintéticos.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infecciones activas en la zona.</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No estoy embarazada ni en periodo de lactancia activa.</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Las siguientes son importantes consideraciones de tratamiento que deben discutirse con nosotros y entenderse para evitar resultados insatisfactorios y complicaciones. Informaré a mi proveedor antes del tratamiento si alguna de las siguientes afirmaciones es cierta:</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sangrado o moretones excesivos.</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sometido/a terapia antiplaquetaria o anticoagulante, tomando aspirina, rivaroxabán (Xarelto), dabigatrán (Pradaxa), apixabán (Eliquis), edoxabán (Lixiana), heparina o cualquier otro medicamento (AINEs: Advil, Motrin, Nuprin, Aleve, Excedrin, Bayer, Bufferin, Asper Gum, Alka-Seltzer, Pepto-Bismol, Maalox, Kaopectate, Advil PM, Alka-Seltzer plus, que contenga ibuprofeno, aspirina, naproxeno o medicamentos relacionados) o suplementos (vitamina E, ginkgo biloba, ginseng, hierba de San Juan, aceite de pescado / Omega 3) que previene o ralentiza la coagulación de la sangre.</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enfermedad autoinmunitaria o cualquier inmunodeficiencia.</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enfermedades que comprometen el sistema inmunológico (por ejemplo, cáncer, VIH) u otras enfermedades sistémicas (por ejemplo, diabetes, tuberculosis).</w:t>
      </w:r>
    </w:p>
    <w:p w:rsidR="00000000" w:rsidDel="00000000" w:rsidP="00000000" w:rsidRDefault="00000000" w:rsidRPr="00000000" w14:paraId="00000025">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El costo de los tratamientos de Silhouette InstaLift® puede involucrar varios cargos. Esto incluiría tratamientos repetidos. Los costos adicionales del tratamiento médico serán su responsabilidad en caso de que se presenten complicaciones derivadas del procedimiento.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los riesgos del procedimiento InstaLift pueden no ser completamente conocidos. La información presentada se basa en estudios recientes realizados durante un período de tiempo relativamente corto. Aunque se considera seguro, Portrait y su personal no son responsables de ningún riesgo del tratamiento InstaLift que aún no haya sido descubierto o comúnmente conocido.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puede ser predicho o garantizado. Además, entiendo que el efecto disminuirá gradualmente, y pueden ser necesarios tratamientos adicionales para mantener el efecto deseado.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lo anterior, y se me han explicado los riesgos, beneficios y alternativas, y he tenido la oportunidad de hacer preguntas. No se han hecho garantías sobre los resultados.</w:t>
      </w:r>
      <w:r w:rsidDel="00000000" w:rsidR="00000000" w:rsidRPr="00000000">
        <w:rPr>
          <w:rtl w:val="0"/>
        </w:rPr>
      </w:r>
    </w:p>
    <w:p w:rsidR="00000000" w:rsidDel="00000000" w:rsidP="00000000" w:rsidRDefault="00000000" w:rsidRPr="00000000" w14:paraId="00000030">
      <w:pP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1">
      <w:pP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2">
      <w:pP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3">
      <w:pPr>
        <w:tabs>
          <w:tab w:val="left" w:leader="none" w:pos="-720"/>
          <w:tab w:val="left" w:leader="none" w:pos="0"/>
        </w:tabs>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w:t>
      </w:r>
    </w:p>
    <w:p w:rsidR="00000000" w:rsidDel="00000000" w:rsidP="00000000" w:rsidRDefault="00000000" w:rsidRPr="00000000" w14:paraId="00000034">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Reconozco que he leído este formulario de consentimiento y he discutido o me han ofrecido discutir los posibles resultados del tratamiento con Silhouette InstaLift® con el médico y/o el equipo de atención.</w:t>
      </w:r>
    </w:p>
    <w:p w:rsidR="00000000" w:rsidDel="00000000" w:rsidP="00000000" w:rsidRDefault="00000000" w:rsidRPr="00000000" w14:paraId="00000036">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Comprendo que mi atención será proporcionada por una enfermera registrada, un profesional de enfermería, un médico o un asistente médico calificado que ha sido capacitado de acuerdo con las directrices del fabricante (Suneva).</w:t>
      </w:r>
    </w:p>
    <w:p w:rsidR="00000000" w:rsidDel="00000000" w:rsidP="00000000" w:rsidRDefault="00000000" w:rsidRPr="00000000" w14:paraId="00000038">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Consiento el uso del tratamiento con Silhouette InstaLift® con el objetivo de lograr los resultados beneficiosos deseados. Comprendo que aunque se hará todo esfuerzo razonable para lograr un resultado deseable, no se declara ni se implica ninguna garantía.</w:t>
      </w:r>
    </w:p>
    <w:p w:rsidR="00000000" w:rsidDel="00000000" w:rsidP="00000000" w:rsidRDefault="00000000" w:rsidRPr="00000000" w14:paraId="0000003A">
      <w:pP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puedo rechazar el tratamiento y que este procedimiento es opcional. Consiento el tratamiento con Silhouette InstaLift® y reconozco que todas mis preguntas e inquietudes han sido abordadas satisfactoriamente.</w:t>
      </w:r>
    </w:p>
    <w:p w:rsidR="00000000" w:rsidDel="00000000" w:rsidP="00000000" w:rsidRDefault="00000000" w:rsidRPr="00000000" w14:paraId="0000003C">
      <w:pP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Comprendo que mi proveedor y todo el equipo de atención están disponibles para mí en caso de que tenga alguna preocupación después de recibir mi tratamiento. Seguiré todas las instrucciones posteriores al tratamiento según lo indicado por el médico y/o el equipo de atención. Actualizará a mi proveedor en caso de que tenga algún cambio en mi historial médico.</w:t>
      </w:r>
    </w:p>
    <w:p w:rsidR="00000000" w:rsidDel="00000000" w:rsidP="00000000" w:rsidRDefault="00000000" w:rsidRPr="00000000" w14:paraId="0000003E">
      <w:pP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Certifico que soy un adulto competente de al menos 18 años de edad.</w:t>
      </w:r>
    </w:p>
    <w:p w:rsidR="00000000" w:rsidDel="00000000" w:rsidP="00000000" w:rsidRDefault="00000000" w:rsidRPr="00000000" w14:paraId="00000040">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spacing w:after="160" w:line="259" w:lineRule="auto"/>
        <w:ind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Nombre: ____________________________________________  </w:t>
      </w:r>
    </w:p>
    <w:p w:rsidR="00000000" w:rsidDel="00000000" w:rsidP="00000000" w:rsidRDefault="00000000" w:rsidRPr="00000000" w14:paraId="00000043">
      <w:pPr>
        <w:spacing w:after="160" w:line="259" w:lineRule="auto"/>
        <w:ind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4">
      <w:pPr>
        <w:spacing w:after="160" w:line="259" w:lineRule="auto"/>
        <w:ind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Firma:_________________________________________ Fecha:________________ </w:t>
      </w:r>
    </w:p>
    <w:p w:rsidR="00000000" w:rsidDel="00000000" w:rsidP="00000000" w:rsidRDefault="00000000" w:rsidRPr="00000000" w14:paraId="00000045">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tabs>
          <w:tab w:val="left" w:leader="none" w:pos="-720"/>
          <w:tab w:val="left" w:leader="none" w:pos="0"/>
        </w:tabs>
        <w:ind w:firstLine="0"/>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48">
      <w:pPr>
        <w:spacing w:line="240" w:lineRule="auto"/>
        <w:ind w:left="0" w:hanging="2"/>
        <w:rPr>
          <w:rFonts w:ascii="Calibri" w:cs="Calibri" w:eastAsia="Calibri" w:hAnsi="Calibri"/>
          <w:b w:val="1"/>
        </w:rPr>
      </w:pPr>
      <w:r w:rsidDel="00000000" w:rsidR="00000000" w:rsidRPr="00000000">
        <w:rPr>
          <w:rtl w:val="0"/>
        </w:rPr>
      </w:r>
    </w:p>
    <w:sectPr>
      <w:type w:val="continuous"/>
      <w:pgSz w:h="15840" w:w="12240" w:orient="portrait"/>
      <w:pgMar w:bottom="1386"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412"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0" w:hanging="2"/>
            <w:rPr>
              <w:b w:val="1"/>
              <w:color w:val="000000"/>
              <w:sz w:val="20"/>
              <w:szCs w:val="20"/>
            </w:rPr>
          </w:pPr>
          <w:r w:rsidDel="00000000" w:rsidR="00000000" w:rsidRPr="00000000">
            <w:rPr>
              <w:rtl w:val="0"/>
            </w:rPr>
          </w:r>
        </w:p>
        <w:p w:rsidR="00000000" w:rsidDel="00000000" w:rsidP="00000000" w:rsidRDefault="00000000" w:rsidRPr="00000000" w14:paraId="0000004C">
          <w:pPr>
            <w:spacing w:line="360" w:lineRule="auto"/>
            <w:ind w:left="-15" w:firstLine="0"/>
            <w:rPr>
              <w:color w:val="000000"/>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1752600" cy="45720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2600" cy="457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ind w:left="-1.999999999999999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LIFTING DE HILO </w:t>
            <w:br w:type="textWrapping"/>
            <w:t xml:space="preserve">SILHOUETTE INSTALIFT</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Fonts w:ascii="Calibri" w:cs="Calibri" w:eastAsia="Calibri" w:hAnsi="Calibri"/>
              <w:sz w:val="20"/>
              <w:szCs w:val="20"/>
              <w:rtl w:val="0"/>
            </w:rPr>
            <w:t xml:space="preserve">05/2022</w:t>
          </w:r>
        </w:p>
      </w:tc>
    </w:tr>
    <w:tr>
      <w:trPr>
        <w:cantSplit w:val="0"/>
        <w:trHeight w:val="314" w:hRule="atLeast"/>
        <w:tblHeader w:val="0"/>
      </w:trPr>
      <w:tc>
        <w:tcPr/>
        <w:p w:rsidR="00000000" w:rsidDel="00000000" w:rsidP="00000000" w:rsidRDefault="00000000" w:rsidRPr="00000000" w14:paraId="00000053">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54">
          <w:pPr>
            <w:tabs>
              <w:tab w:val="left" w:leader="none" w:pos="2936"/>
            </w:tabs>
            <w:ind w:left="0" w:hanging="2"/>
            <w:jc w:val="center"/>
            <w:rPr>
              <w:rFonts w:ascii="Calibri" w:cs="Calibri" w:eastAsia="Calibri" w:hAnsi="Calibri"/>
              <w:b w:val="1"/>
            </w:rPr>
          </w:pPr>
          <w:r w:rsidDel="00000000" w:rsidR="00000000" w:rsidRPr="00000000">
            <w:rPr>
              <w:rFonts w:ascii="Calibri" w:cs="Calibri" w:eastAsia="Calibri" w:hAnsi="Calibri"/>
              <w:b w:val="1"/>
              <w:rtl w:val="0"/>
            </w:rPr>
            <w:t xml:space="preserve">Registered Nurse, Nurse Practitioner and Physician Assistant Guidelines</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5GXFO48WBIShlLZLoU/Jj1ESg==">CgMxLjA4AHIhMXpGVlFNaVRjdGluMElsUk1tcFN4OVpQWldtempUbmg4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2021-01-29T11:19:00Z</dcterms:created>
  <dc:creator>Paolo Parodi (Stu)</dc:creator>
</cp:coreProperties>
</file>