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4380"/>
        <w:gridCol w:w="3420"/>
        <w:tblGridChange w:id="0">
          <w:tblGrid>
            <w:gridCol w:w="3000"/>
            <w:gridCol w:w="4380"/>
            <w:gridCol w:w="3420"/>
          </w:tblGrid>
        </w:tblGridChange>
      </w:tblGrid>
      <w:tr>
        <w:trPr>
          <w:cantSplit w:val="0"/>
          <w:trHeight w:val="152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ind w:left="-1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ource Code Pro" w:cs="Source Code Pro" w:eastAsia="Source Code Pro" w:hAnsi="Source Code Pro"/>
                <w:color w:val="424242"/>
                <w:sz w:val="20"/>
                <w:szCs w:val="20"/>
              </w:rPr>
              <w:drawing>
                <wp:inline distB="114300" distT="114300" distL="114300" distR="114300">
                  <wp:extent cx="1752600" cy="45720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CONSENTIMIENTO INFORMADO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680"/>
                <w:tab w:val="right" w:leader="none" w:pos="9360"/>
              </w:tabs>
              <w:spacing w:after="0"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680"/>
                <w:tab w:val="right" w:leader="none" w:pos="9360"/>
              </w:tabs>
              <w:spacing w:after="0" w:line="259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HIDROQUINONA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REVIEWED/REVISED: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REVIEWED AND REVISED: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06/2022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Portrait Spa and Concierge Locations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936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Registered Nurse, Nurse Practitioner and Physician Assistant Guidelines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Medical Director:</w:t>
            </w:r>
          </w:p>
          <w:p w:rsidR="00000000" w:rsidDel="00000000" w:rsidP="00000000" w:rsidRDefault="00000000" w:rsidRPr="00000000" w14:paraId="0000000E">
            <w:pPr>
              <w:tabs>
                <w:tab w:val="center" w:leader="none" w:pos="4680"/>
                <w:tab w:val="right" w:leader="none" w:pos="9360"/>
                <w:tab w:val="center" w:leader="none" w:pos="5040"/>
                <w:tab w:val="right" w:leader="none" w:pos="10080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Dr. Patrick Blake, MD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tabs>
          <w:tab w:val="left" w:leader="none" w:pos="2493"/>
        </w:tabs>
        <w:spacing w:after="160" w:line="259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1.9999999999999998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Gracias por elegir Portrait. En un esfuerzo continuo para darle el mejor servicio posible, revise cuidadosamente este formulario de consentimiento y haga cualquier pregunta necesaria para ayudarle a comprenderlo completamente. Será tratado por un proveedor que trabaja en colaboración con un grupo médico afiliado a Portrait (DermDocs, P.C., Portrait Health Care, PLLC o Portrait Health Care New Jersey, PC). Al firmar este Consentimiento Informado, autoriza al proveedor de atención médica que lo trata hoy* a administrar este tratamiento. Firme solo después de una cuidadosa consideración.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INTRODUCCIÓN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hidroquinona está indicada para tratar la hiperpigmentación, incluyendo pecas, manchas solares, melasma y manchas post-inflamatorias de psoriasis, acné y eczema.</w:t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RIESGOS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Aunque la mayoría de los pacientes no experimentan efectos secundarios, debe discutir con su proveedor para asegurarse de entender los posibles efectos secundarios. Los riesgos incluyen: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rFonts w:ascii="Calibri" w:cs="Calibri" w:eastAsia="Calibri" w:hAnsi="Calibri"/>
          <w:b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Reacciones alérgicas</w:t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Sequedad</w:t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Irritación leve de la piel</w:t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Reacción inflamatoria</w:t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Ocronosis (empeoramiento de la pigmentación)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  <w:b w:val="1"/>
          <w:color w:val="231f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Calibri" w:cs="Calibri" w:eastAsia="Calibri" w:hAnsi="Calibri"/>
          <w:color w:val="231f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Esta lista no pretende ser exhaustiva de todos los posibles riesgos asociados con la hidroquinona, ya que hay efectos secundarios conocidos y desconocidos asociados con cualquier medicamento o procedimiento.</w:t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color w:val="231f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2493"/>
        </w:tabs>
        <w:spacing w:line="259" w:lineRule="auto"/>
        <w:ind w:left="0" w:firstLine="0"/>
        <w:rPr>
          <w:rFonts w:ascii="Calibri" w:cs="Calibri" w:eastAsia="Calibri" w:hAnsi="Calibri"/>
          <w:b w:val="1"/>
          <w:color w:val="231f20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highlight w:val="white"/>
          <w:u w:val="single"/>
          <w:rtl w:val="0"/>
        </w:rPr>
        <w:t xml:space="preserve">CONTRAINDICACIONES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2493"/>
        </w:tabs>
        <w:spacing w:line="259" w:lineRule="auto"/>
        <w:ind w:left="0" w:firstLine="0"/>
        <w:rPr>
          <w:rFonts w:ascii="Calibri" w:cs="Calibri" w:eastAsia="Calibri" w:hAnsi="Calibri"/>
          <w:color w:val="231f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Informaré a mi proveedor antes del tratamiento si alguno de los siguientes es cierto: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leader="none" w:pos="2493"/>
        </w:tabs>
        <w:spacing w:line="259" w:lineRule="auto"/>
        <w:ind w:left="720" w:hanging="360"/>
        <w:rPr>
          <w:rFonts w:ascii="Calibri" w:cs="Calibri" w:eastAsia="Calibri" w:hAnsi="Calibri"/>
          <w:color w:val="231f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Estoy embarazada o estoy amamantando.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2493"/>
        </w:tabs>
        <w:spacing w:line="259" w:lineRule="auto"/>
        <w:rPr>
          <w:rFonts w:ascii="Calibri" w:cs="Calibri" w:eastAsia="Calibri" w:hAnsi="Calibri"/>
          <w:color w:val="231f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color w:val="231f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Las siguientes son consideraciones importantes de tratamiento que debe discutir con nosotros y entender para ayudar a evitar resultados insatisfactorios y complicaciones.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231f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La hidroquinona está contraindicada en personas que han mostrado hipersensibilidad a la hidroquinona.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231f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Los pacientes que usan hidroquinona tienen una mayor probabilidad de experimentar quemaduras solares. Debe tomarse precaución para usar protector solar y protección solar durante el tratamiento.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231f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Los pacientes no deben aplicar hidroquinona cerca de los ojos, en piel cortada, abrasada o quemada por el sol, después de afeitarse o usar un agente depilatorio, o sobre miliaria rubra (calor pruriginoso).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231f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La hidroquinona debe ser utilizada en ciclos "encendido-apagado", típicamente en una base de un mes encendido/ un mes apagado, pero nunca por más de seis meses consecutivos.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231f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31f20"/>
          <w:highlight w:val="white"/>
          <w:rtl w:val="0"/>
        </w:rPr>
        <w:t xml:space="preserve">Existe cierta preocupación de que la hidroquinona pueda aumentar el riesgo de cáncer, pero la comunidad médica no cree que esto sea cierto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CONSENTIMIENTO:</w:t>
      </w:r>
    </w:p>
    <w:p w:rsidR="00000000" w:rsidDel="00000000" w:rsidP="00000000" w:rsidRDefault="00000000" w:rsidRPr="00000000" w14:paraId="0000002C">
      <w:pPr>
        <w:tabs>
          <w:tab w:val="left" w:leader="none" w:pos="-720"/>
          <w:tab w:val="left" w:leader="none" w:pos="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Puedo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entender este documento en español. Comprendo que no someterme a este procedimiento es una opción. Todas mis preguntas y preocupaciones han sido abordadas satisfactoriamente. Entiendo que mi proveedor y todo el equipo de atención están disponibles para mí en caso de que surjan preocupaciones después de recibir mi tratamiento. Seguiré todas las instrucciones posteriores al cuidado. También informaré a mi proveedor si se producen cambios en mi historial médico.</w:t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____________________________________________  </w:t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Firma:_________________________________________ Fecha:________________ </w:t>
      </w:r>
    </w:p>
    <w:p w:rsidR="00000000" w:rsidDel="00000000" w:rsidP="00000000" w:rsidRDefault="00000000" w:rsidRPr="00000000" w14:paraId="00000032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-720"/>
          <w:tab w:val="left" w:leader="none" w:pos="0"/>
        </w:tabs>
        <w:spacing w:line="240" w:lineRule="auto"/>
        <w:rPr>
          <w:rFonts w:ascii="Inter" w:cs="Inter" w:eastAsia="Inter" w:hAnsi="Inter"/>
          <w:sz w:val="13"/>
          <w:szCs w:val="13"/>
        </w:rPr>
      </w:pPr>
      <w:r w:rsidDel="00000000" w:rsidR="00000000" w:rsidRPr="00000000">
        <w:rPr>
          <w:rFonts w:ascii="Inter" w:cs="Inter" w:eastAsia="Inter" w:hAnsi="Inter"/>
          <w:sz w:val="13"/>
          <w:szCs w:val="13"/>
          <w:rtl w:val="0"/>
        </w:rPr>
        <w:t xml:space="preserve">*Portrait Health Inc. y sus prácticas médicas gestionadas, incluyendo DermDocs, PC, Portrait Health Care, PLLC y Portrait Health Care New Jersey, PC, trabajan en estrecha colaboración con enfermeras y asistentes médicos para proporcionar servicios a pacientes compartidos. Esto incluye proporcionar entidades dirigidas por enfermeras y asistentes médicos con una amplia gama de servicios de apoyo administrativo y clínico de acuerdo con las normas de la industria y las leyes y regulaciones aplicables.</w:t>
      </w:r>
    </w:p>
    <w:p w:rsidR="00000000" w:rsidDel="00000000" w:rsidP="00000000" w:rsidRDefault="00000000" w:rsidRPr="00000000" w14:paraId="00000035">
      <w:pPr>
        <w:pageBreakBefore w:val="0"/>
        <w:tabs>
          <w:tab w:val="left" w:leader="none" w:pos="-720"/>
          <w:tab w:val="left" w:leader="none" w:pos="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Inter">
    <w:embedRegular w:fontKey="{00000000-0000-0000-0000-000000000000}" r:id="rId1" w:subsetted="0"/>
    <w:embedBold w:fontKey="{00000000-0000-0000-0000-000000000000}" r:id="rId2" w:subsetted="0"/>
  </w:font>
  <w:font w:name="Source Code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SourceCodePro-regular.ttf"/><Relationship Id="rId4" Type="http://schemas.openxmlformats.org/officeDocument/2006/relationships/font" Target="fonts/SourceCodePro-bold.ttf"/><Relationship Id="rId5" Type="http://schemas.openxmlformats.org/officeDocument/2006/relationships/font" Target="fonts/SourceCodePro-italic.ttf"/><Relationship Id="rId6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ObXHTbYUjZPhcQp4mwOOA9WwQ==">CgMxLjA4AHIhMU1LTjVHOVpHd0ZHdURYRndzdHA3RFlmVmlPZFBvT3lB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