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9999999999999998" w:firstLine="0"/>
        <w:jc w:val="both"/>
        <w:rPr>
          <w:rFonts w:ascii="Calibri" w:cs="Calibri" w:eastAsia="Calibri" w:hAnsi="Calibri"/>
          <w:sz w:val="24"/>
          <w:szCs w:val="24"/>
          <w:highlight w:val="green"/>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ageBreakBefore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ageBreakBefore w:val="0"/>
        <w:tabs>
          <w:tab w:val="left" w:leader="none" w:pos="-720"/>
        </w:tabs>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Introducción</w:t>
      </w:r>
    </w:p>
    <w:p w:rsidR="00000000" w:rsidDel="00000000" w:rsidP="00000000" w:rsidRDefault="00000000" w:rsidRPr="00000000" w14:paraId="00000004">
      <w:pPr>
        <w:pageBreakBefore w:val="0"/>
        <w:tabs>
          <w:tab w:val="left" w:leader="none" w:pos="-720"/>
        </w:tabs>
        <w:spacing w:after="16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La inyección de ácido desoxicólico de Kybella está indicada para mejorar la apariencia de la plenitud moderada a severa asociada con la grasa submental, también llamada "papada", en adultos. Se inyecta ácido desoxicólico en la grasa debajo del mentón, así como en otras áreas de grasa superficial para su eliminación. Se requieren varios tratamientos que se administrarán al menos con un mes de diferencia.</w:t>
      </w:r>
      <w:r w:rsidDel="00000000" w:rsidR="00000000" w:rsidRPr="00000000">
        <w:rPr>
          <w:rtl w:val="0"/>
        </w:rPr>
      </w:r>
    </w:p>
    <w:p w:rsidR="00000000" w:rsidDel="00000000" w:rsidP="00000000" w:rsidRDefault="00000000" w:rsidRPr="00000000" w14:paraId="00000005">
      <w:pPr>
        <w:pageBreakBefore w:val="0"/>
        <w:tabs>
          <w:tab w:val="left" w:leader="none" w:pos="-720"/>
        </w:tabs>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Alternativas</w:t>
      </w:r>
    </w:p>
    <w:p w:rsidR="00000000" w:rsidDel="00000000" w:rsidP="00000000" w:rsidRDefault="00000000" w:rsidRPr="00000000" w14:paraId="00000006">
      <w:pPr>
        <w:pageBreakBefore w:val="0"/>
        <w:tabs>
          <w:tab w:val="left" w:leader="none" w:pos="-720"/>
        </w:tabs>
        <w:spacing w:after="16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Existen opciones adicionales para el contorno facial y la reducción de grasa. Estas incluyen pérdida de peso, cirugía, inyección de rellenos, criolipólisis y tratamientos de calentamiento de tejidos.</w:t>
      </w:r>
    </w:p>
    <w:p w:rsidR="00000000" w:rsidDel="00000000" w:rsidP="00000000" w:rsidRDefault="00000000" w:rsidRPr="00000000" w14:paraId="00000007">
      <w:pPr>
        <w:pageBreakBefore w:val="0"/>
        <w:tabs>
          <w:tab w:val="left" w:leader="none" w:pos="-720"/>
        </w:tabs>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Efectos secundarios y riesgos</w:t>
      </w:r>
    </w:p>
    <w:p w:rsidR="00000000" w:rsidDel="00000000" w:rsidP="00000000" w:rsidRDefault="00000000" w:rsidRPr="00000000" w14:paraId="00000008">
      <w:pPr>
        <w:pageBreakBefore w:val="0"/>
        <w:tabs>
          <w:tab w:val="left" w:leader="none" w:pos="-720"/>
        </w:tabs>
        <w:spacing w:after="160" w:line="240" w:lineRule="auto"/>
        <w:jc w:val="both"/>
        <w:rPr>
          <w:rFonts w:ascii="Calibri" w:cs="Calibri" w:eastAsia="Calibri" w:hAnsi="Calibri"/>
          <w:b w:val="1"/>
          <w:sz w:val="24"/>
          <w:szCs w:val="24"/>
        </w:rPr>
        <w:sectPr>
          <w:headerReference r:id="rId7" w:type="default"/>
          <w:pgSz w:h="15840" w:w="12240" w:orient="portrait"/>
          <w:pgMar w:bottom="1440" w:top="1440" w:left="1440" w:right="1440" w:header="720" w:footer="720"/>
          <w:pgNumType w:start="1"/>
        </w:sectPr>
      </w:pPr>
      <w:r w:rsidDel="00000000" w:rsidR="00000000" w:rsidRPr="00000000">
        <w:rPr>
          <w:rFonts w:ascii="Calibri" w:cs="Calibri" w:eastAsia="Calibri" w:hAnsi="Calibri"/>
          <w:sz w:val="24"/>
          <w:szCs w:val="24"/>
          <w:rtl w:val="0"/>
        </w:rPr>
        <w:t xml:space="preserve">Cada procedimiento implica cierto nivel de riesgo, y es importante que comprenda los riesgos involucrados. La elección individual de someterse a este procedimiento se basa en la comparación del riesgo con el beneficio potencial. Aunque la mayoría de los pacientes no experimentan efectos secundarios además de la hinchazón y la sensibilidad, debe discutir cada posible complicación con su proveedor para asegurarse de que comprenda los riesgos, las posibles complicaciones y las consecuencias de las inyecciones de ácido desoxicólico. Los riesgos incluyen:</w:t>
      </w:r>
      <w:r w:rsidDel="00000000" w:rsidR="00000000" w:rsidRPr="00000000">
        <w:rPr>
          <w:rtl w:val="0"/>
        </w:rPr>
      </w:r>
    </w:p>
    <w:p w:rsidR="00000000" w:rsidDel="00000000" w:rsidP="00000000" w:rsidRDefault="00000000" w:rsidRPr="00000000" w14:paraId="00000009">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Reacción alérgica</w:t>
      </w:r>
    </w:p>
    <w:p w:rsidR="00000000" w:rsidDel="00000000" w:rsidP="00000000" w:rsidRDefault="00000000" w:rsidRPr="00000000" w14:paraId="0000000A">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Infección</w:t>
      </w:r>
    </w:p>
    <w:p w:rsidR="00000000" w:rsidDel="00000000" w:rsidP="00000000" w:rsidRDefault="00000000" w:rsidRPr="00000000" w14:paraId="0000000B">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Hinchazón</w:t>
      </w:r>
    </w:p>
    <w:p w:rsidR="00000000" w:rsidDel="00000000" w:rsidP="00000000" w:rsidRDefault="00000000" w:rsidRPr="00000000" w14:paraId="0000000C">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Herida</w:t>
      </w:r>
    </w:p>
    <w:p w:rsidR="00000000" w:rsidDel="00000000" w:rsidP="00000000" w:rsidRDefault="00000000" w:rsidRPr="00000000" w14:paraId="0000000D">
      <w:pPr>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Dificultad para traga</w:t>
      </w:r>
    </w:p>
    <w:p w:rsidR="00000000" w:rsidDel="00000000" w:rsidP="00000000" w:rsidRDefault="00000000" w:rsidRPr="00000000" w14:paraId="0000000E">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Moretones, enrojecimiento, picazón, dolor, sensibilidad</w:t>
      </w:r>
    </w:p>
    <w:p w:rsidR="00000000" w:rsidDel="00000000" w:rsidP="00000000" w:rsidRDefault="00000000" w:rsidRPr="00000000" w14:paraId="0000000F">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Cicatrización</w:t>
      </w:r>
    </w:p>
    <w:p w:rsidR="00000000" w:rsidDel="00000000" w:rsidP="00000000" w:rsidRDefault="00000000" w:rsidRPr="00000000" w14:paraId="00000010">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Lesión nerviosa, incluyendo una sonrisa desigual</w:t>
      </w:r>
    </w:p>
    <w:p w:rsidR="00000000" w:rsidDel="00000000" w:rsidP="00000000" w:rsidRDefault="00000000" w:rsidRPr="00000000" w14:paraId="00000011">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Asimetría</w:t>
      </w:r>
    </w:p>
    <w:p w:rsidR="00000000" w:rsidDel="00000000" w:rsidP="00000000" w:rsidRDefault="00000000" w:rsidRPr="00000000" w14:paraId="00000012">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Mal resultado cosmético</w:t>
      </w:r>
    </w:p>
    <w:p w:rsidR="00000000" w:rsidDel="00000000" w:rsidP="00000000" w:rsidRDefault="00000000" w:rsidRPr="00000000" w14:paraId="00000013">
      <w:pPr>
        <w:pageBreakBefore w:val="0"/>
        <w:tabs>
          <w:tab w:val="left" w:leader="none" w:pos="-720"/>
        </w:tabs>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Sangrado</w:t>
      </w:r>
    </w:p>
    <w:p w:rsidR="00000000" w:rsidDel="00000000" w:rsidP="00000000" w:rsidRDefault="00000000" w:rsidRPr="00000000" w14:paraId="00000014">
      <w:pPr>
        <w:pageBreakBefore w:val="0"/>
        <w:tabs>
          <w:tab w:val="left" w:leader="none" w:pos="-720"/>
        </w:tabs>
        <w:spacing w:after="160" w:line="240" w:lineRule="auto"/>
        <w:rPr>
          <w:rFonts w:ascii="Calibri" w:cs="Calibri" w:eastAsia="Calibri" w:hAnsi="Calibri"/>
          <w:b w:val="1"/>
          <w:sz w:val="24"/>
          <w:szCs w:val="24"/>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Fonts w:ascii="Calibri" w:cs="Calibri" w:eastAsia="Calibri" w:hAnsi="Calibri"/>
          <w:b w:val="1"/>
          <w:sz w:val="24"/>
          <w:szCs w:val="24"/>
          <w:rtl w:val="0"/>
        </w:rPr>
        <w:t xml:space="preserve">Pérdida de cabello en la piel barbada</w:t>
      </w:r>
    </w:p>
    <w:p w:rsidR="00000000" w:rsidDel="00000000" w:rsidP="00000000" w:rsidRDefault="00000000" w:rsidRPr="00000000" w14:paraId="00000015">
      <w:pPr>
        <w:pageBreakBefore w:val="0"/>
        <w:spacing w:line="240" w:lineRule="auto"/>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6">
      <w:pPr>
        <w:pageBreakBefore w:val="0"/>
        <w:spacing w:line="240" w:lineRule="auto"/>
        <w:ind w:left="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17">
      <w:pPr>
        <w:pageBreakBefore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de acuerdo con las siguientes afirmaciones:</w:t>
      </w:r>
    </w:p>
    <w:p w:rsidR="00000000" w:rsidDel="00000000" w:rsidP="00000000" w:rsidRDefault="00000000" w:rsidRPr="00000000" w14:paraId="00000018">
      <w:pPr>
        <w:pageBreakBefore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estoy embarazada ni estoy amamantando.</w:t>
      </w:r>
    </w:p>
    <w:p w:rsidR="00000000" w:rsidDel="00000000" w:rsidP="00000000" w:rsidRDefault="00000000" w:rsidRPr="00000000" w14:paraId="00000019">
      <w:pPr>
        <w:pageBreakBefore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infecciones activas.</w:t>
      </w:r>
    </w:p>
    <w:p w:rsidR="00000000" w:rsidDel="00000000" w:rsidP="00000000" w:rsidRDefault="00000000" w:rsidRPr="00000000" w14:paraId="0000001A">
      <w:pPr>
        <w:pageBreakBefore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he tenido dificultad para tragar.</w:t>
      </w:r>
    </w:p>
    <w:p w:rsidR="00000000" w:rsidDel="00000000" w:rsidP="00000000" w:rsidRDefault="00000000" w:rsidRPr="00000000" w14:paraId="0000001B">
      <w:pPr>
        <w:pageBreakBefore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ageBreakBefore w:val="0"/>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Resultados</w:t>
      </w:r>
    </w:p>
    <w:p w:rsidR="00000000" w:rsidDel="00000000" w:rsidP="00000000" w:rsidRDefault="00000000" w:rsidRPr="00000000" w14:paraId="0000001D">
      <w:pPr>
        <w:pageBreakBefore w:val="0"/>
        <w:spacing w:after="16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Entiendo que el grado real de mejora no se puede predecir ni garantizar completamente. Además, entiendo que el aumento de peso y el proceso de envejecimiento pueden disminuir el efecto deseado.</w:t>
      </w:r>
      <w:r w:rsidDel="00000000" w:rsidR="00000000" w:rsidRPr="00000000">
        <w:rPr>
          <w:rtl w:val="0"/>
        </w:rPr>
      </w:r>
    </w:p>
    <w:p w:rsidR="00000000" w:rsidDel="00000000" w:rsidP="00000000" w:rsidRDefault="00000000" w:rsidRPr="00000000" w14:paraId="0000001E">
      <w:pPr>
        <w:pageBreakBefore w:val="0"/>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Responsabilidades financieras</w:t>
      </w:r>
    </w:p>
    <w:p w:rsidR="00000000" w:rsidDel="00000000" w:rsidP="00000000" w:rsidRDefault="00000000" w:rsidRPr="00000000" w14:paraId="0000001F">
      <w:pPr>
        <w:pageBreakBefore w:val="0"/>
        <w:spacing w:after="16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Entiendo que el costo de la inyección puede incluir varios cargos que incluirían cualquier retoque. Entiendo que puede requerir múltiples tratamientos. No se realizan reembolsos por resultados insatisfactorios percibidos. Entiendo que los costos del tratamiento médico serían mi responsabilidad en caso de que se desarrollen complicaciones. No se me han hecho garantías.</w:t>
      </w:r>
      <w:r w:rsidDel="00000000" w:rsidR="00000000" w:rsidRPr="00000000">
        <w:rPr>
          <w:rtl w:val="0"/>
        </w:rPr>
      </w:r>
    </w:p>
    <w:p w:rsidR="00000000" w:rsidDel="00000000" w:rsidP="00000000" w:rsidRDefault="00000000" w:rsidRPr="00000000" w14:paraId="00000020">
      <w:pPr>
        <w:pageBreakBefore w:val="0"/>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21">
      <w:pPr>
        <w:pageBreakBefore w:val="0"/>
        <w:spacing w:after="16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Entiendo que los riesgos del ácido desoxicólico pueden no ser completamente conocidos. La información presentada se basa en numerosos estudios clínicos. Aunque se considera seguro, mi proveedor y la empresa no son responsables de ningún riesgo aún no descubierto.</w:t>
      </w:r>
      <w:r w:rsidDel="00000000" w:rsidR="00000000" w:rsidRPr="00000000">
        <w:rPr>
          <w:rtl w:val="0"/>
        </w:rPr>
      </w:r>
    </w:p>
    <w:p w:rsidR="00000000" w:rsidDel="00000000" w:rsidP="00000000" w:rsidRDefault="00000000" w:rsidRPr="00000000" w14:paraId="00000022">
      <w:pPr>
        <w:pageBreakBefore w:val="0"/>
        <w:spacing w:after="16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23">
      <w:pPr>
        <w:pageBreakBefore w:val="0"/>
        <w:spacing w:after="16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Existe la posibilidad de una respuesta pobre o inadecuada. Esto es particularmente probable si decide recibir menos tratamiento del que su proveedor recomienda. Es posible que se necesiten inyecciones adicionales. Los resultados completos no se pueden evaluar dentro del primer mes después del tratamiento.</w:t>
      </w:r>
      <w:r w:rsidDel="00000000" w:rsidR="00000000" w:rsidRPr="00000000">
        <w:rPr>
          <w:rtl w:val="0"/>
        </w:rPr>
      </w:r>
    </w:p>
    <w:p w:rsidR="00000000" w:rsidDel="00000000" w:rsidP="00000000" w:rsidRDefault="00000000" w:rsidRPr="00000000" w14:paraId="00000024">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25">
      <w:pPr>
        <w:tabs>
          <w:tab w:val="left" w:leader="none" w:pos="-720"/>
          <w:tab w:val="left" w:leader="none" w:pos="0"/>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26">
      <w:pPr>
        <w:tabs>
          <w:tab w:val="left" w:leader="none" w:pos="-720"/>
          <w:tab w:val="left" w:leader="none" w:pos="0"/>
        </w:tabs>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Nombre: ____________________________________________  </w:t>
      </w:r>
    </w:p>
    <w:p w:rsidR="00000000" w:rsidDel="00000000" w:rsidP="00000000" w:rsidRDefault="00000000" w:rsidRPr="00000000" w14:paraId="00000029">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Firma:_________________________________________ Fecha:________________ </w:t>
      </w:r>
    </w:p>
    <w:p w:rsidR="00000000" w:rsidDel="00000000" w:rsidP="00000000" w:rsidRDefault="00000000" w:rsidRPr="00000000" w14:paraId="0000002B">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tabs>
          <w:tab w:val="left" w:leader="none" w:pos="-720"/>
          <w:tab w:val="left" w:leader="none" w:pos="0"/>
        </w:tabs>
        <w:spacing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2E">
      <w:pPr>
        <w:pageBreakBefore w:val="0"/>
        <w:spacing w:after="160" w:line="259" w:lineRule="auto"/>
        <w:rPr>
          <w:rFonts w:ascii="Calibri" w:cs="Calibri" w:eastAsia="Calibri" w:hAnsi="Calibri"/>
          <w:b w:val="1"/>
          <w:sz w:val="24"/>
          <w:szCs w:val="24"/>
          <w:u w:val="singl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F">
      <w:pPr>
        <w:pageBreakBefore w:val="0"/>
        <w:spacing w:line="240" w:lineRule="auto"/>
        <w:rPr>
          <w:rFonts w:ascii="Calibri" w:cs="Calibri" w:eastAsia="Calibri" w:hAnsi="Calibri"/>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leader="none" w:pos="4680"/>
        <w:tab w:val="right" w:leader="none" w:pos="9360"/>
      </w:tabs>
      <w:spacing w:line="240" w:lineRule="auto"/>
      <w:rPr>
        <w:rFonts w:ascii="Calibri" w:cs="Calibri" w:eastAsia="Calibri" w:hAnsi="Calibri"/>
        <w:b w:val="1"/>
        <w:sz w:val="32"/>
        <w:szCs w:val="32"/>
      </w:rPr>
    </w:pPr>
    <w:r w:rsidDel="00000000" w:rsidR="00000000" w:rsidRPr="00000000">
      <w:rPr>
        <w:rtl w:val="0"/>
      </w:rPr>
    </w:r>
  </w:p>
  <w:tbl>
    <w:tblPr>
      <w:tblStyle w:val="Table1"/>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0"/>
      <w:gridCol w:w="4120"/>
      <w:gridCol w:w="3420"/>
      <w:tblGridChange w:id="0">
        <w:tblGrid>
          <w:gridCol w:w="3280"/>
          <w:gridCol w:w="4120"/>
          <w:gridCol w:w="3420"/>
        </w:tblGrid>
      </w:tblGridChange>
    </w:tblGrid>
    <w:tr>
      <w:trPr>
        <w:cantSplit w:val="0"/>
        <w:trHeight w:val="1523" w:hRule="atLeast"/>
        <w:tblHeader w:val="0"/>
      </w:trPr>
      <w:tc>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spacing w:line="360" w:lineRule="auto"/>
            <w:ind w:left="-15" w:firstLine="0"/>
            <w:rPr>
              <w:rFonts w:ascii="Calibri" w:cs="Calibri" w:eastAsia="Calibri" w:hAnsi="Calibri"/>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2009775" cy="520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9775"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4">
          <w:pPr>
            <w:tabs>
              <w:tab w:val="center" w:leader="none" w:pos="4680"/>
              <w:tab w:val="right" w:leader="none" w:pos="9360"/>
            </w:tabs>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5">
          <w:pPr>
            <w:tabs>
              <w:tab w:val="center" w:leader="none" w:pos="4680"/>
              <w:tab w:val="right" w:leader="none" w:pos="936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36">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KYBELLA</w:t>
          </w:r>
        </w:p>
        <w:p w:rsidR="00000000" w:rsidDel="00000000" w:rsidP="00000000" w:rsidRDefault="00000000" w:rsidRPr="00000000" w14:paraId="00000037">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(ÁCIDO DESOXICÓLICO)</w:t>
          </w:r>
        </w:p>
        <w:p w:rsidR="00000000" w:rsidDel="00000000" w:rsidP="00000000" w:rsidRDefault="00000000" w:rsidRPr="00000000" w14:paraId="00000038">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39">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3A">
          <w:pPr>
            <w:tabs>
              <w:tab w:val="center" w:leader="none" w:pos="4680"/>
              <w:tab w:val="right" w:leader="none" w:pos="9360"/>
              <w:tab w:val="center" w:leader="none" w:pos="5040"/>
              <w:tab w:val="right" w:leader="none" w:pos="10080"/>
            </w:tabs>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B">
          <w:pPr>
            <w:tabs>
              <w:tab w:val="center" w:leader="none" w:pos="4680"/>
              <w:tab w:val="right" w:leader="none" w:pos="9360"/>
              <w:tab w:val="center" w:leader="none" w:pos="5040"/>
              <w:tab w:val="right" w:leader="none" w:pos="10080"/>
            </w:tabs>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Fonts w:ascii="Calibri" w:cs="Calibri" w:eastAsia="Calibri" w:hAnsi="Calibri"/>
              <w:sz w:val="20"/>
              <w:szCs w:val="20"/>
              <w:rtl w:val="0"/>
            </w:rPr>
            <w:t xml:space="preserve"> P. Blake MD</w:t>
          </w:r>
        </w:p>
      </w:tc>
    </w:tr>
    <w:tr>
      <w:trPr>
        <w:cantSplit w:val="0"/>
        <w:trHeight w:val="497" w:hRule="atLeast"/>
        <w:tblHeader w:val="0"/>
      </w:trPr>
      <w:tc>
        <w:tcPr/>
        <w:p w:rsidR="00000000" w:rsidDel="00000000" w:rsidP="00000000" w:rsidRDefault="00000000" w:rsidRPr="00000000" w14:paraId="0000003C">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3D">
          <w:pPr>
            <w:tabs>
              <w:tab w:val="left" w:leader="none" w:pos="2936"/>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3E">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3F">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40">
    <w:pPr>
      <w:tabs>
        <w:tab w:val="center" w:leader="none" w:pos="4680"/>
        <w:tab w:val="right" w:leader="none" w:pos="9360"/>
        <w:tab w:val="center" w:leader="none" w:pos="5040"/>
        <w:tab w:val="right" w:leader="none" w:pos="1008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84QIsAEUllcIHnS9sBqGYXtRQ==">CgMxLjA4AHIhMTdwSHJPeGZ6cnhWY0pSUlpOUjdQNHdlb0FldkpfUlRU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