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ayudarle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CONSENTIMIENTO INFORMADO - LUZ PULSADA INTENSA (IPL) / DYE-VL</w:t>
      </w:r>
    </w:p>
    <w:p w:rsidR="00000000" w:rsidDel="00000000" w:rsidP="00000000" w:rsidRDefault="00000000" w:rsidRPr="00000000" w14:paraId="00000004">
      <w:pPr>
        <w:ind w:left="1" w:hanging="3"/>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5">
      <w:pPr>
        <w:pageBreakBefore w:val="0"/>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6">
      <w:pPr>
        <w:pageBreakBefore w:val="0"/>
        <w:ind w:left="0" w:hanging="2"/>
        <w:jc w:val="both"/>
        <w:rPr>
          <w:rFonts w:ascii="Calibri" w:cs="Calibri" w:eastAsia="Calibri" w:hAnsi="Calibri"/>
        </w:rPr>
      </w:pPr>
      <w:r w:rsidDel="00000000" w:rsidR="00000000" w:rsidRPr="00000000">
        <w:rPr>
          <w:rFonts w:ascii="Calibri" w:cs="Calibri" w:eastAsia="Calibri" w:hAnsi="Calibri"/>
          <w:rtl w:val="0"/>
        </w:rPr>
        <w:t xml:space="preserve">La Luz Pulsada Intensa (IPL) utiliza un haz amplio de luz altamente concentrada filtrada a una longitud de onda que es selectivamente absorbida por los tejidos objetivos. La luz calienta los tejidos objetivos descomponiendo la pigmentación en partículas, que luego se elevan a la superficie de la piel como manchas oscuras o costras (exfoliando naturalmente en 1-2 semanas) o son filtradas a través del sistema linfático. IPL ayuda en el tratamiento de las siguientes condiciones de la piel:</w:t>
      </w:r>
    </w:p>
    <w:p w:rsidR="00000000" w:rsidDel="00000000" w:rsidP="00000000" w:rsidRDefault="00000000" w:rsidRPr="00000000" w14:paraId="00000007">
      <w:pPr>
        <w:pageBreakBefore w:val="0"/>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Cambios vasculares, incluyendo telangiectasias (venas de araña) y los síntomas de enrojecimiento y rubor de la rosácea.</w:t>
      </w:r>
    </w:p>
    <w:p w:rsidR="00000000" w:rsidDel="00000000" w:rsidP="00000000" w:rsidRDefault="00000000" w:rsidRPr="00000000" w14:paraId="00000008">
      <w:pPr>
        <w:pageBreakBefore w:val="0"/>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Cambios en la pigmentación, incluyendo manchas marrones y lentigos (pecas).</w:t>
      </w:r>
    </w:p>
    <w:p w:rsidR="00000000" w:rsidDel="00000000" w:rsidP="00000000" w:rsidRDefault="00000000" w:rsidRPr="00000000" w14:paraId="00000009">
      <w:pPr>
        <w:pageBreakBefore w:val="0"/>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Manchas solares, arrugas, poros grandes, poiquilodermia, melasma y ojeras oscuras.</w:t>
      </w:r>
    </w:p>
    <w:p w:rsidR="00000000" w:rsidDel="00000000" w:rsidP="00000000" w:rsidRDefault="00000000" w:rsidRPr="00000000" w14:paraId="0000000A">
      <w:pPr>
        <w:pageBreakBefore w:val="0"/>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B">
      <w:pPr>
        <w:pageBreakBefore w:val="0"/>
        <w:ind w:left="0" w:hanging="2"/>
        <w:jc w:val="both"/>
        <w:rPr>
          <w:rFonts w:ascii="Calibri" w:cs="Calibri" w:eastAsia="Calibri" w:hAnsi="Calibri"/>
        </w:rPr>
      </w:pPr>
      <w:r w:rsidDel="00000000" w:rsidR="00000000" w:rsidRPr="00000000">
        <w:rPr>
          <w:rFonts w:ascii="Calibri" w:cs="Calibri" w:eastAsia="Calibri" w:hAnsi="Calibri"/>
          <w:rtl w:val="0"/>
        </w:rPr>
        <w:t xml:space="preserve">Dye-VL utiliza un espectro más estrecho de luz altamente concentrada con los mismos objetivos que IPL.</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260" w:left="1440" w:right="1440" w:header="720" w:footer="720"/>
          <w:pgNumType w:start="1"/>
        </w:sectPr>
      </w:pPr>
      <w:r w:rsidDel="00000000" w:rsidR="00000000" w:rsidRPr="00000000">
        <w:rPr>
          <w:rFonts w:ascii="Calibri" w:cs="Calibri" w:eastAsia="Calibri" w:hAnsi="Calibri"/>
          <w:rtl w:val="0"/>
        </w:rPr>
        <w:t xml:space="preserve">Cada procedimiento implica cierto riesgo, y es importante que comprenda los riesgos involucrados. La elección de someterse a este procedimiento se basa en la comparación del riesgo con el beneficio potencial. Aunque la mayoría de los pacientes no experimentan las siguientes complicaciones, debe discutir cada una de ellas con su proveedor para asegurarse de que comprende los riesgos, las complicaciones potenciales y las consecuencias del tratamiento IPL o Dye-VL.</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Edema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Hipopigmentación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Hiperpigmentación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Rojez persistente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Moretones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Formación de ampollas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Respuesta incompleta o nula</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Formación de costras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Infección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Quemadura o sensación de ardor</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type w:val="continuous"/>
          <w:pgSz w:h="15840" w:w="12240" w:orient="portrait"/>
          <w:pgMar w:bottom="1440"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rtl w:val="0"/>
        </w:rPr>
        <w:t xml:space="preserve">Cicatriz</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Estoy de acuerdo con las siguientes cuatro (4) afirmaciones:</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estoy embarazada ni en período de lactancia.</w:t>
      </w:r>
    </w:p>
    <w:p w:rsidR="00000000" w:rsidDel="00000000" w:rsidP="00000000" w:rsidRDefault="00000000" w:rsidRPr="00000000" w14:paraId="0000001D">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he usado Accutane en los últimos 6 meses.</w:t>
      </w:r>
    </w:p>
    <w:p w:rsidR="00000000" w:rsidDel="00000000" w:rsidP="00000000" w:rsidRDefault="00000000" w:rsidRPr="00000000" w14:paraId="0000001E">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tengo alergia a la aspirina.</w:t>
      </w:r>
    </w:p>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No tengo infecciones activas en la piel.</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Las siguientes son consideraciones importantes para el tratamiento que deben discutirse con nosotros y entenderse para evitar resultados insatisfactorios y complicaciones. Informaré a mi proveedor antes del tratamiento si alguna de las siguientes es cierta:</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formación de queloides, cicatrización excesiva o curación deficiente (diabetes u otras afecciones).</w:t>
      </w:r>
    </w:p>
    <w:p w:rsidR="00000000" w:rsidDel="00000000" w:rsidP="00000000" w:rsidRDefault="00000000" w:rsidRPr="00000000" w14:paraId="00000024">
      <w:pPr>
        <w:pageBreakBefore w:val="0"/>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sangrado o hematomas excesivos.</w:t>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tomando algún medicamento que pueda causar fotosensibilidad (medicamentos, hormonas, esteroides, Accutane, Retin-A o productos similares o anticonceptivos).</w:t>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una enfermedad autoinmunitaria o cualquier inmunodeficiencia.</w:t>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personales o familiares de cáncer de piel.</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del tratamiento con IPL o Dye-VL puede incluir varios cargos. Esto incluiría tratamientos repetidos. Los costos adicionales del tratamiento médico serían responsabilidad suya en caso de que se presenten complicaciones del tratamiento con IPL o Dye-VL.</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los riesgos del uso de IPL y Dye-VL pueden no ser completamente conocidos. La información presentada se basa en estudios recientes realizados durante un período de tiempo relativamente corto. Aunque se considera seguro, Portrait y su personal no son responsables de ningún riesgo de IPL que aún no se haya descubierto o que sea comúnmente conocido.</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o garantizar. Además, entiendo que el efecto disminuirá gradualmente y que pueden ser necesarios tratamientos adicionales para mantener el efecto deseado.</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Fonts w:ascii="Calibri" w:cs="Calibri" w:eastAsia="Calibri" w:hAnsi="Calibri"/>
          <w:rtl w:val="0"/>
        </w:rPr>
        <w:t xml:space="preserve">Entiendo lo anterior y se me han explicado los riesgos, beneficios y alternativas, y he tenido la oportunidad de hacer preguntas. No se han realizado garantías sobre los resultados.</w:t>
      </w:r>
      <w:r w:rsidDel="00000000" w:rsidR="00000000" w:rsidRPr="00000000">
        <w:rPr>
          <w:rtl w:val="0"/>
        </w:rPr>
      </w:r>
    </w:p>
    <w:p w:rsidR="00000000" w:rsidDel="00000000" w:rsidP="00000000" w:rsidRDefault="00000000" w:rsidRPr="00000000" w14:paraId="00000033">
      <w:pPr>
        <w:pageBreakBefore w:val="0"/>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4">
      <w:pPr>
        <w:tabs>
          <w:tab w:val="left" w:leader="none" w:pos="-720"/>
          <w:tab w:val="left" w:leader="none" w:pos="0"/>
        </w:tabs>
        <w:ind w:firstLine="0"/>
        <w:jc w:val="both"/>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5">
      <w:pPr>
        <w:pageBreakBefore w:val="0"/>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6">
      <w:pPr>
        <w:tabs>
          <w:tab w:val="left" w:leader="none" w:pos="-720"/>
          <w:tab w:val="left" w:leader="none" w:pos="0"/>
        </w:tabs>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w:t>
      </w:r>
    </w:p>
    <w:p w:rsidR="00000000" w:rsidDel="00000000" w:rsidP="00000000" w:rsidRDefault="00000000" w:rsidRPr="00000000" w14:paraId="00000037">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Reconozco que he leído este formulario de consentimiento y he discutido o se me ha ofrecido discutir los posibles resultados del tratamiento de IPL y / o Dye-VL con el médico y / o el equipo de atención.</w:t>
      </w:r>
    </w:p>
    <w:p w:rsidR="00000000" w:rsidDel="00000000" w:rsidP="00000000" w:rsidRDefault="00000000" w:rsidRPr="00000000" w14:paraId="00000039">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atención será proporcionada por un operador calificado de IPL o Dye-VL (Enfermera Registrada, Enfermera Practicante, Médico o Asistente Médico) que ha sido capacitado en ciencia láser, uso de equipos, seguridad láser, cuidado de la piel y otras áreas de conocimiento necesarias.</w:t>
      </w:r>
    </w:p>
    <w:p w:rsidR="00000000" w:rsidDel="00000000" w:rsidP="00000000" w:rsidRDefault="00000000" w:rsidRPr="00000000" w14:paraId="0000003B">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Consiento en el uso del sistema IPL o Dye-VL con el objetivo de obtener los resultados beneficiosos deseados. Entiendo que aunque se hará todo esfuerzo razonable para lograr un resultado deseable, no se establece ni se implica ninguna garantía.</w:t>
      </w:r>
    </w:p>
    <w:p w:rsidR="00000000" w:rsidDel="00000000" w:rsidP="00000000" w:rsidRDefault="00000000" w:rsidRPr="00000000" w14:paraId="0000003D">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puedo rechazar el tratamiento y que este procedimiento es opcional. Consiento en el tratamiento de IPL y / o Dye-VL, y reconozco que todas mis preguntas e inquietudes han sido abordadas de manera satisfactoria.</w:t>
      </w:r>
    </w:p>
    <w:p w:rsidR="00000000" w:rsidDel="00000000" w:rsidP="00000000" w:rsidRDefault="00000000" w:rsidRPr="00000000" w14:paraId="0000003F">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0">
      <w:pPr>
        <w:pageBreakBefore w:val="0"/>
        <w:spacing w:line="240" w:lineRule="auto"/>
        <w:ind w:left="0" w:hanging="2"/>
        <w:jc w:val="both"/>
        <w:rPr>
          <w:rFonts w:ascii="Calibri" w:cs="Calibri" w:eastAsia="Calibri" w:hAnsi="Calibri"/>
          <w:b w:val="1"/>
        </w:rPr>
      </w:pPr>
      <w:r w:rsidDel="00000000" w:rsidR="00000000" w:rsidRPr="00000000">
        <w:rPr>
          <w:rFonts w:ascii="Calibri" w:cs="Calibri" w:eastAsia="Calibri" w:hAnsi="Calibri"/>
          <w:b w:val="1"/>
          <w:rtl w:val="0"/>
        </w:rPr>
        <w:t xml:space="preserve">Entiendo que mi proveedor y todo el equipo de atención están disponibles para mí en caso de que desarrolle alguna preocupación después de recibir mi tratamiento. Seguiré todas las instrucciones de cuidado posterior según lo indicado por el médico y / o el equipo de atención. Actualizará a mi proveedor si se producen cambios en mi historial médico.</w:t>
      </w:r>
    </w:p>
    <w:p w:rsidR="00000000" w:rsidDel="00000000" w:rsidP="00000000" w:rsidRDefault="00000000" w:rsidRPr="00000000" w14:paraId="00000041">
      <w:pPr>
        <w:pageBreakBefore w:val="0"/>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pageBreakBefore w:val="0"/>
        <w:spacing w:line="240" w:lineRule="auto"/>
        <w:ind w:left="0" w:hanging="2"/>
        <w:rPr>
          <w:rFonts w:ascii="Calibri" w:cs="Calibri" w:eastAsia="Calibri" w:hAnsi="Calibri"/>
          <w:b w:val="1"/>
        </w:rPr>
      </w:pPr>
      <w:r w:rsidDel="00000000" w:rsidR="00000000" w:rsidRPr="00000000">
        <w:rPr>
          <w:rFonts w:ascii="Calibri" w:cs="Calibri" w:eastAsia="Calibri" w:hAnsi="Calibri"/>
          <w:b w:val="1"/>
          <w:rtl w:val="0"/>
        </w:rPr>
        <w:t xml:space="preserve">Certifico que soy un adulto competente de al menos 18 años de edad.</w:t>
      </w:r>
    </w:p>
    <w:p w:rsidR="00000000" w:rsidDel="00000000" w:rsidP="00000000" w:rsidRDefault="00000000" w:rsidRPr="00000000" w14:paraId="00000043">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46">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48">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tabs>
          <w:tab w:val="left" w:leader="none" w:pos="-720"/>
          <w:tab w:val="left" w:leader="none" w:pos="0"/>
        </w:tabs>
        <w:ind w:firstLine="0"/>
        <w:rPr>
          <w:rFonts w:ascii="Calibri" w:cs="Calibri" w:eastAsia="Calibri" w:hAnsi="Calibri"/>
          <w:b w:val="1"/>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r w:rsidDel="00000000" w:rsidR="00000000" w:rsidRPr="00000000">
        <w:rPr>
          <w:rtl w:val="0"/>
        </w:rPr>
      </w:r>
    </w:p>
    <w:p w:rsidR="00000000" w:rsidDel="00000000" w:rsidP="00000000" w:rsidRDefault="00000000" w:rsidRPr="00000000" w14:paraId="0000004B">
      <w:pPr>
        <w:pageBreakBefore w:val="0"/>
        <w:ind w:left="0" w:firstLine="0"/>
        <w:rPr/>
      </w:pPr>
      <w:r w:rsidDel="00000000" w:rsidR="00000000" w:rsidRPr="00000000">
        <w:rPr>
          <w:rtl w:val="0"/>
        </w:rPr>
      </w:r>
    </w:p>
    <w:sectPr>
      <w:type w:val="continuous"/>
      <w:pgSz w:h="15840" w:w="12240" w:orient="portrait"/>
      <w:pgMar w:bottom="1440"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470"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F">
          <w:pPr>
            <w:spacing w:line="360" w:lineRule="auto"/>
            <w:ind w:left="-15" w:firstLine="0"/>
            <w:rPr>
              <w:rFonts w:ascii="Calibri" w:cs="Calibri" w:eastAsia="Calibri" w:hAnsi="Calibri"/>
              <w:color w:val="000000"/>
              <w:sz w:val="20"/>
              <w:szCs w:val="20"/>
            </w:rPr>
          </w:pPr>
          <w:r w:rsidDel="00000000" w:rsidR="00000000" w:rsidRPr="00000000">
            <w:rPr>
              <w:rFonts w:ascii="Calibri" w:cs="Calibri" w:eastAsia="Calibri" w:hAnsi="Calibri"/>
              <w:color w:val="424242"/>
              <w:sz w:val="20"/>
              <w:szCs w:val="20"/>
            </w:rPr>
            <w:drawing>
              <wp:inline distB="114300" distT="114300" distL="114300" distR="114300">
                <wp:extent cx="2000250" cy="5207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ind w:left="-1.9999999999999998" w:firstLine="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3">
          <w:pPr>
            <w:ind w:left="1" w:hanging="3"/>
            <w:jc w:val="center"/>
            <w:rPr>
              <w:rFonts w:ascii="Calibri" w:cs="Calibri" w:eastAsia="Calibri" w:hAnsi="Calibri"/>
              <w:color w:val="000000"/>
              <w:sz w:val="16"/>
              <w:szCs w:val="16"/>
            </w:rPr>
          </w:pPr>
          <w:r w:rsidDel="00000000" w:rsidR="00000000" w:rsidRPr="00000000">
            <w:rPr>
              <w:rFonts w:ascii="Calibri" w:cs="Calibri" w:eastAsia="Calibri" w:hAnsi="Calibri"/>
              <w:b w:val="1"/>
              <w:rtl w:val="0"/>
            </w:rPr>
            <w:t xml:space="preserve">LUZ PULSADA INTENSA (IPL) / DYE-VL</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REVIEWED/REVISED</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color w:val="000000"/>
            </w:rPr>
          </w:pPr>
          <w:r w:rsidDel="00000000" w:rsidR="00000000" w:rsidRPr="00000000">
            <w:rPr>
              <w:rFonts w:ascii="Calibri" w:cs="Calibri" w:eastAsia="Calibri" w:hAnsi="Calibri"/>
              <w:b w:val="1"/>
              <w:color w:val="000000"/>
              <w:sz w:val="20"/>
              <w:szCs w:val="20"/>
              <w:rtl w:val="0"/>
            </w:rPr>
            <w:t xml:space="preserve">REVIEWED AND REVISED:  </w:t>
          </w:r>
          <w:r w:rsidDel="00000000" w:rsidR="00000000" w:rsidRPr="00000000">
            <w:rPr>
              <w:rFonts w:ascii="Calibri" w:cs="Calibri" w:eastAsia="Calibri" w:hAnsi="Calibri"/>
              <w:color w:val="000000"/>
              <w:sz w:val="20"/>
              <w:szCs w:val="20"/>
              <w:rtl w:val="0"/>
            </w:rPr>
            <w:t xml:space="preserve">0</w:t>
          </w: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color w:val="000000"/>
              <w:sz w:val="20"/>
              <w:szCs w:val="20"/>
              <w:rtl w:val="0"/>
            </w:rPr>
            <w:t xml:space="preserve">/20</w:t>
          </w:r>
          <w:r w:rsidDel="00000000" w:rsidR="00000000" w:rsidRPr="00000000">
            <w:rPr>
              <w:rFonts w:ascii="Calibri" w:cs="Calibri" w:eastAsia="Calibri" w:hAnsi="Calibri"/>
              <w:sz w:val="20"/>
              <w:szCs w:val="20"/>
              <w:rtl w:val="0"/>
            </w:rPr>
            <w:t xml:space="preserve">21</w:t>
          </w:r>
          <w:r w:rsidDel="00000000" w:rsidR="00000000" w:rsidRPr="00000000">
            <w:rPr>
              <w:rtl w:val="0"/>
            </w:rPr>
          </w:r>
        </w:p>
      </w:tc>
    </w:tr>
    <w:tr>
      <w:trPr>
        <w:cantSplit w:val="0"/>
        <w:trHeight w:val="548.2812499999999" w:hRule="atLeast"/>
        <w:tblHeader w:val="0"/>
      </w:trPr>
      <w:tc>
        <w:tcPr/>
        <w:p w:rsidR="00000000" w:rsidDel="00000000" w:rsidP="00000000" w:rsidRDefault="00000000" w:rsidRPr="00000000" w14:paraId="00000057">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8">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PzkgifsvDnHS8RgcaVUWFm2jw==">CgMxLjA4AGotChRzdWdnZXN0Lm14djF3ZXRjZmxpcBIVVG9ycmV5IEhpZ2dpbnMgSG9sbWVzciExcmtTNWpEdUZIVGhucERKSFZ6ZFZfU1UyVXRUUnpvV0k=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2021-01-20T13:14:00Z</dcterms:created>
  <dc:creator>Paolo Parodi (Stu)</dc:creator>
</cp:coreProperties>
</file>